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0C8DBD">
      <w:pPr>
        <w:widowControl/>
        <w:spacing w:line="300" w:lineRule="auto"/>
        <w:jc w:val="center"/>
        <w:rPr>
          <w:rFonts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矿山连接道路破损维修工程采购</w:t>
      </w:r>
    </w:p>
    <w:p w14:paraId="61A6485A">
      <w:pPr>
        <w:widowControl/>
        <w:tabs>
          <w:tab w:val="left" w:leader="underscore" w:pos="4030"/>
        </w:tabs>
        <w:spacing w:after="354" w:line="600" w:lineRule="exact"/>
        <w:jc w:val="center"/>
        <w:rPr>
          <w:rFonts w:ascii="宋体" w:hAnsi="宋体" w:eastAsia="宋体" w:cs="MingLiU"/>
          <w:color w:val="000000"/>
          <w:kern w:val="0"/>
          <w:sz w:val="44"/>
          <w:szCs w:val="44"/>
          <w:lang w:val="zh-TW" w:bidi="zh-TW"/>
        </w:rPr>
      </w:pPr>
    </w:p>
    <w:p w14:paraId="4332837B">
      <w:pPr>
        <w:widowControl/>
        <w:spacing w:line="300" w:lineRule="auto"/>
        <w:ind w:firstLine="3520" w:firstLineChars="800"/>
        <w:rPr>
          <w:rFonts w:ascii="方正小标宋简体" w:hAnsi="方正小标宋简体" w:eastAsia="方正小标宋简体" w:cs="方正小标宋简体"/>
          <w:kern w:val="0"/>
          <w:sz w:val="44"/>
          <w:szCs w:val="44"/>
          <w:lang w:val="zh-TW"/>
        </w:rPr>
      </w:pPr>
      <w:r>
        <w:rPr>
          <w:rFonts w:hint="eastAsia" w:ascii="方正小标宋简体" w:hAnsi="方正小标宋简体" w:eastAsia="方正小标宋简体" w:cs="方正小标宋简体"/>
          <w:kern w:val="0"/>
          <w:sz w:val="44"/>
          <w:szCs w:val="44"/>
          <w:lang w:val="zh-TW"/>
        </w:rPr>
        <w:t>(招标编号：1171260130001)</w:t>
      </w:r>
    </w:p>
    <w:p w14:paraId="03EAD6E9">
      <w:pPr>
        <w:pStyle w:val="17"/>
        <w:ind w:firstLine="880"/>
        <w:jc w:val="center"/>
        <w:rPr>
          <w:rFonts w:eastAsia="黑体" w:cs="宋体"/>
          <w:color w:val="000000"/>
          <w:sz w:val="44"/>
          <w:szCs w:val="44"/>
          <w:lang w:val="zh-TW"/>
        </w:rPr>
      </w:pPr>
    </w:p>
    <w:p w14:paraId="63435839">
      <w:pPr>
        <w:pStyle w:val="17"/>
        <w:ind w:firstLine="880"/>
        <w:jc w:val="center"/>
        <w:rPr>
          <w:rFonts w:eastAsia="黑体" w:cs="宋体"/>
          <w:color w:val="000000"/>
          <w:sz w:val="44"/>
          <w:szCs w:val="44"/>
          <w:lang w:val="zh-TW"/>
        </w:rPr>
      </w:pPr>
    </w:p>
    <w:p w14:paraId="299C69A9">
      <w:pPr>
        <w:widowControl/>
        <w:spacing w:after="4320"/>
        <w:ind w:left="62"/>
        <w:jc w:val="center"/>
        <w:rPr>
          <w:rFonts w:ascii="方正小标宋简体" w:hAnsi="方正小标宋简体" w:eastAsia="方正小标宋简体" w:cs="方正小标宋简体"/>
          <w:i/>
          <w:iCs/>
          <w:color w:val="000000"/>
          <w:spacing w:val="-10"/>
          <w:kern w:val="0"/>
          <w:sz w:val="44"/>
          <w:szCs w:val="44"/>
          <w:lang w:val="zh-TW" w:bidi="zh-TW"/>
        </w:rPr>
      </w:pPr>
      <w:r>
        <w:rPr>
          <w:rFonts w:hint="eastAsia" w:ascii="方正小标宋简体" w:hAnsi="方正小标宋简体" w:eastAsia="方正小标宋简体" w:cs="方正小标宋简体"/>
          <w:color w:val="000000"/>
          <w:kern w:val="0"/>
          <w:sz w:val="44"/>
          <w:szCs w:val="44"/>
          <w:lang w:val="zh-TW"/>
        </w:rPr>
        <w:t>招</w:t>
      </w:r>
      <w:r>
        <w:rPr>
          <w:rFonts w:hint="eastAsia" w:ascii="方正小标宋简体" w:hAnsi="方正小标宋简体" w:eastAsia="方正小标宋简体" w:cs="方正小标宋简体"/>
          <w:color w:val="000000"/>
          <w:kern w:val="0"/>
          <w:sz w:val="44"/>
          <w:szCs w:val="44"/>
        </w:rPr>
        <w:t xml:space="preserve">  </w:t>
      </w:r>
      <w:r>
        <w:rPr>
          <w:rFonts w:hint="eastAsia" w:ascii="方正小标宋简体" w:hAnsi="方正小标宋简体" w:eastAsia="方正小标宋简体" w:cs="方正小标宋简体"/>
          <w:color w:val="000000"/>
          <w:kern w:val="0"/>
          <w:sz w:val="44"/>
          <w:szCs w:val="44"/>
          <w:lang w:val="zh-TW"/>
        </w:rPr>
        <w:t>标</w:t>
      </w:r>
      <w:r>
        <w:rPr>
          <w:rFonts w:hint="eastAsia" w:ascii="方正小标宋简体" w:hAnsi="方正小标宋简体" w:eastAsia="方正小标宋简体" w:cs="方正小标宋简体"/>
          <w:color w:val="000000"/>
          <w:kern w:val="0"/>
          <w:sz w:val="44"/>
          <w:szCs w:val="44"/>
        </w:rPr>
        <w:t xml:space="preserve">  </w:t>
      </w:r>
      <w:r>
        <w:rPr>
          <w:rFonts w:hint="eastAsia" w:ascii="方正小标宋简体" w:hAnsi="方正小标宋简体" w:eastAsia="方正小标宋简体" w:cs="方正小标宋简体"/>
          <w:color w:val="000000"/>
          <w:kern w:val="0"/>
          <w:sz w:val="44"/>
          <w:szCs w:val="44"/>
          <w:lang w:val="zh-TW"/>
        </w:rPr>
        <w:t>文</w:t>
      </w:r>
      <w:r>
        <w:rPr>
          <w:rFonts w:hint="eastAsia" w:ascii="方正小标宋简体" w:hAnsi="方正小标宋简体" w:eastAsia="方正小标宋简体" w:cs="方正小标宋简体"/>
          <w:color w:val="000000"/>
          <w:kern w:val="0"/>
          <w:sz w:val="44"/>
          <w:szCs w:val="44"/>
        </w:rPr>
        <w:t xml:space="preserve">  </w:t>
      </w:r>
      <w:r>
        <w:rPr>
          <w:rFonts w:hint="eastAsia" w:ascii="方正小标宋简体" w:hAnsi="方正小标宋简体" w:eastAsia="方正小标宋简体" w:cs="方正小标宋简体"/>
          <w:color w:val="000000"/>
          <w:kern w:val="0"/>
          <w:sz w:val="44"/>
          <w:szCs w:val="44"/>
          <w:lang w:val="zh-TW"/>
        </w:rPr>
        <w:t>件</w:t>
      </w:r>
    </w:p>
    <w:p w14:paraId="708E41E6">
      <w:pPr>
        <w:widowControl/>
        <w:spacing w:line="300" w:lineRule="auto"/>
        <w:jc w:val="center"/>
        <w:rPr>
          <w:rFonts w:ascii="方正小标宋简体" w:hAnsi="方正小标宋简体" w:eastAsia="方正小标宋简体" w:cs="方正小标宋简体"/>
          <w:color w:val="000000"/>
          <w:kern w:val="0"/>
          <w:sz w:val="44"/>
          <w:szCs w:val="44"/>
          <w:lang w:val="zh-TW"/>
        </w:rPr>
      </w:pPr>
      <w:r>
        <w:rPr>
          <w:rFonts w:hint="eastAsia" w:ascii="方正小标宋简体" w:hAnsi="方正小标宋简体" w:eastAsia="方正小标宋简体" w:cs="方正小标宋简体"/>
          <w:color w:val="000000"/>
          <w:kern w:val="0"/>
          <w:sz w:val="44"/>
          <w:szCs w:val="44"/>
          <w:lang w:val="zh-TW"/>
        </w:rPr>
        <w:t>招标人：济南黄河爆破工程有限责任公司</w:t>
      </w:r>
    </w:p>
    <w:p w14:paraId="1C82F5AA">
      <w:pPr>
        <w:widowControl/>
        <w:spacing w:line="300" w:lineRule="auto"/>
        <w:jc w:val="center"/>
        <w:rPr>
          <w:rFonts w:ascii="方正小标宋简体" w:hAnsi="方正小标宋简体" w:eastAsia="方正小标宋简体" w:cs="方正小标宋简体"/>
          <w:color w:val="000000"/>
          <w:kern w:val="0"/>
          <w:sz w:val="44"/>
          <w:szCs w:val="44"/>
          <w:lang w:val="zh-TW" w:eastAsia="zh-TW"/>
        </w:rPr>
      </w:pPr>
      <w:r>
        <w:rPr>
          <w:rFonts w:hint="eastAsia" w:ascii="方正小标宋简体" w:hAnsi="方正小标宋简体" w:eastAsia="方正小标宋简体" w:cs="方正小标宋简体"/>
          <w:color w:val="000000"/>
          <w:kern w:val="0"/>
          <w:sz w:val="44"/>
          <w:szCs w:val="44"/>
          <w:lang w:val="zh-TW" w:eastAsia="zh-TW"/>
        </w:rPr>
        <w:t>日</w:t>
      </w:r>
      <w:r>
        <w:rPr>
          <w:rFonts w:hint="eastAsia" w:ascii="方正小标宋简体" w:hAnsi="方正小标宋简体" w:eastAsia="方正小标宋简体" w:cs="方正小标宋简体"/>
          <w:color w:val="000000"/>
          <w:kern w:val="0"/>
          <w:sz w:val="44"/>
          <w:szCs w:val="44"/>
          <w:lang w:eastAsia="zh-TW"/>
        </w:rPr>
        <w:t xml:space="preserve">  </w:t>
      </w:r>
      <w:r>
        <w:rPr>
          <w:rFonts w:hint="eastAsia" w:ascii="方正小标宋简体" w:hAnsi="方正小标宋简体" w:eastAsia="方正小标宋简体" w:cs="方正小标宋简体"/>
          <w:color w:val="000000"/>
          <w:kern w:val="0"/>
          <w:sz w:val="44"/>
          <w:szCs w:val="44"/>
          <w:lang w:val="zh-TW" w:eastAsia="zh-TW"/>
        </w:rPr>
        <w:t>期：二〇二</w:t>
      </w:r>
      <w:r>
        <w:rPr>
          <w:rFonts w:hint="eastAsia" w:ascii="方正小标宋简体" w:hAnsi="方正小标宋简体" w:eastAsia="方正小标宋简体" w:cs="方正小标宋简体"/>
          <w:color w:val="000000"/>
          <w:kern w:val="0"/>
          <w:sz w:val="44"/>
          <w:szCs w:val="44"/>
        </w:rPr>
        <w:t>六</w:t>
      </w:r>
      <w:r>
        <w:rPr>
          <w:rFonts w:hint="eastAsia" w:ascii="方正小标宋简体" w:hAnsi="方正小标宋简体" w:eastAsia="方正小标宋简体" w:cs="方正小标宋简体"/>
          <w:color w:val="000000"/>
          <w:kern w:val="0"/>
          <w:sz w:val="44"/>
          <w:szCs w:val="44"/>
          <w:lang w:val="zh-TW" w:eastAsia="zh-TW"/>
        </w:rPr>
        <w:t>年</w:t>
      </w:r>
      <w:r>
        <w:rPr>
          <w:rFonts w:hint="eastAsia" w:ascii="方正小标宋简体" w:hAnsi="方正小标宋简体" w:eastAsia="方正小标宋简体" w:cs="方正小标宋简体"/>
          <w:color w:val="000000"/>
          <w:kern w:val="0"/>
          <w:sz w:val="44"/>
          <w:szCs w:val="44"/>
        </w:rPr>
        <w:t>一</w:t>
      </w:r>
      <w:r>
        <w:rPr>
          <w:rFonts w:hint="eastAsia" w:ascii="方正小标宋简体" w:hAnsi="方正小标宋简体" w:eastAsia="方正小标宋简体" w:cs="方正小标宋简体"/>
          <w:color w:val="000000"/>
          <w:kern w:val="0"/>
          <w:sz w:val="44"/>
          <w:szCs w:val="44"/>
          <w:lang w:val="zh-TW" w:eastAsia="zh-TW"/>
        </w:rPr>
        <w:t>月</w:t>
      </w:r>
    </w:p>
    <w:p w14:paraId="64604805">
      <w:pPr>
        <w:autoSpaceDE w:val="0"/>
        <w:autoSpaceDN w:val="0"/>
        <w:adjustRightInd w:val="0"/>
        <w:spacing w:line="300" w:lineRule="auto"/>
        <w:jc w:val="center"/>
        <w:rPr>
          <w:rFonts w:ascii="仿宋_GB2312" w:hAnsi="仿宋_GB2312" w:eastAsia="仿宋_GB2312" w:cs="仿宋_GB2312"/>
          <w:b/>
          <w:bCs/>
          <w:color w:val="000000"/>
          <w:sz w:val="32"/>
          <w:szCs w:val="32"/>
        </w:rPr>
        <w:sectPr>
          <w:pgSz w:w="11906" w:h="16838"/>
          <w:pgMar w:top="1304" w:right="1304" w:bottom="1304" w:left="1304" w:header="851" w:footer="992" w:gutter="0"/>
          <w:pgNumType w:start="1"/>
          <w:cols w:space="425" w:num="1"/>
          <w:docGrid w:type="linesAndChars" w:linePitch="312" w:charSpace="0"/>
        </w:sectPr>
      </w:pPr>
    </w:p>
    <w:p w14:paraId="215C2A96">
      <w:pPr>
        <w:autoSpaceDE w:val="0"/>
        <w:autoSpaceDN w:val="0"/>
        <w:adjustRightInd w:val="0"/>
        <w:spacing w:line="300" w:lineRule="auto"/>
        <w:jc w:val="center"/>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目  录</w:t>
      </w:r>
    </w:p>
    <w:p w14:paraId="70772E2E">
      <w:pPr>
        <w:pStyle w:val="14"/>
        <w:tabs>
          <w:tab w:val="right" w:leader="dot" w:pos="9298"/>
          <w:tab w:val="clear" w:pos="8870"/>
        </w:tabs>
        <w:spacing w:line="592" w:lineRule="exact"/>
        <w:rPr>
          <w:rFonts w:ascii="仿宋_GB2312" w:hAnsi="仿宋_GB2312" w:eastAsia="仿宋_GB2312" w:cs="仿宋_GB2312"/>
          <w:sz w:val="32"/>
          <w:szCs w:val="32"/>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TOC \o "1-3" \h \z \u </w:instrText>
      </w:r>
      <w:r>
        <w:rPr>
          <w:rFonts w:hint="eastAsia" w:ascii="仿宋_GB2312" w:hAnsi="仿宋_GB2312" w:eastAsia="仿宋_GB2312" w:cs="仿宋_GB2312"/>
          <w:sz w:val="28"/>
          <w:szCs w:val="28"/>
        </w:rPr>
        <w:fldChar w:fldCharType="separate"/>
      </w:r>
      <w:r>
        <w:fldChar w:fldCharType="begin"/>
      </w:r>
      <w:r>
        <w:instrText xml:space="preserve"> HYPERLINK \l "_Toc30861" </w:instrText>
      </w:r>
      <w:r>
        <w:fldChar w:fldCharType="separate"/>
      </w:r>
      <w:r>
        <w:rPr>
          <w:rFonts w:hint="eastAsia" w:ascii="仿宋_GB2312" w:hAnsi="仿宋_GB2312" w:eastAsia="仿宋_GB2312" w:cs="仿宋_GB2312"/>
          <w:bCs/>
          <w:sz w:val="32"/>
          <w:szCs w:val="32"/>
        </w:rPr>
        <w:t>第一章 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_Toc30861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447CA54B">
      <w:pPr>
        <w:pStyle w:val="14"/>
        <w:tabs>
          <w:tab w:val="right" w:leader="dot" w:pos="9298"/>
          <w:tab w:val="clear" w:pos="8870"/>
        </w:tabs>
        <w:spacing w:line="592" w:lineRule="exact"/>
        <w:rPr>
          <w:rFonts w:ascii="仿宋_GB2312" w:hAnsi="仿宋_GB2312" w:eastAsia="仿宋_GB2312" w:cs="仿宋_GB2312"/>
          <w:sz w:val="32"/>
          <w:szCs w:val="32"/>
        </w:rPr>
      </w:pPr>
      <w:r>
        <w:fldChar w:fldCharType="begin"/>
      </w:r>
      <w:r>
        <w:instrText xml:space="preserve"> HYPERLINK \l "_Toc25688" </w:instrText>
      </w:r>
      <w:r>
        <w:fldChar w:fldCharType="separate"/>
      </w:r>
      <w:r>
        <w:rPr>
          <w:rFonts w:hint="eastAsia" w:ascii="仿宋_GB2312" w:hAnsi="仿宋_GB2312" w:eastAsia="仿宋_GB2312" w:cs="仿宋_GB2312"/>
          <w:bCs/>
          <w:sz w:val="32"/>
          <w:szCs w:val="32"/>
        </w:rPr>
        <w:t>第二章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_Toc25688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2CCE1548">
      <w:pPr>
        <w:pStyle w:val="14"/>
        <w:tabs>
          <w:tab w:val="right" w:leader="dot" w:pos="9298"/>
          <w:tab w:val="clear" w:pos="8870"/>
        </w:tabs>
        <w:spacing w:line="592" w:lineRule="exact"/>
        <w:rPr>
          <w:rFonts w:ascii="仿宋_GB2312" w:hAnsi="仿宋_GB2312" w:eastAsia="仿宋_GB2312" w:cs="仿宋_GB2312"/>
          <w:sz w:val="32"/>
          <w:szCs w:val="32"/>
        </w:rPr>
      </w:pPr>
      <w:r>
        <w:fldChar w:fldCharType="begin"/>
      </w:r>
      <w:r>
        <w:instrText xml:space="preserve"> HYPERLINK \l "_Toc7558" </w:instrText>
      </w:r>
      <w:r>
        <w:fldChar w:fldCharType="separate"/>
      </w:r>
      <w:r>
        <w:rPr>
          <w:rFonts w:hint="eastAsia" w:ascii="仿宋_GB2312" w:hAnsi="仿宋_GB2312" w:eastAsia="仿宋_GB2312" w:cs="仿宋_GB2312"/>
          <w:bCs/>
          <w:sz w:val="32"/>
          <w:szCs w:val="32"/>
        </w:rPr>
        <w:t>第三章 评标办法</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_Toc7558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D050289">
      <w:pPr>
        <w:pStyle w:val="14"/>
        <w:tabs>
          <w:tab w:val="right" w:leader="dot" w:pos="9298"/>
          <w:tab w:val="clear" w:pos="8870"/>
        </w:tabs>
        <w:spacing w:line="592" w:lineRule="exact"/>
        <w:rPr>
          <w:rFonts w:ascii="仿宋_GB2312" w:hAnsi="仿宋_GB2312" w:eastAsia="仿宋_GB2312" w:cs="仿宋_GB2312"/>
          <w:sz w:val="32"/>
          <w:szCs w:val="32"/>
        </w:rPr>
      </w:pPr>
      <w:r>
        <w:fldChar w:fldCharType="begin"/>
      </w:r>
      <w:r>
        <w:instrText xml:space="preserve"> HYPERLINK \l "_Toc25484" </w:instrText>
      </w:r>
      <w:r>
        <w:fldChar w:fldCharType="separate"/>
      </w:r>
      <w:r>
        <w:rPr>
          <w:rFonts w:hint="eastAsia" w:ascii="仿宋_GB2312" w:hAnsi="仿宋_GB2312" w:eastAsia="仿宋_GB2312" w:cs="仿宋_GB2312"/>
          <w:sz w:val="32"/>
          <w:szCs w:val="32"/>
          <w:shd w:val="clear" w:color="auto" w:fill="FFFFFF"/>
        </w:rPr>
        <w:t>第四章 合同条款及格式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_Toc25484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900E0B6">
      <w:pPr>
        <w:pStyle w:val="14"/>
        <w:tabs>
          <w:tab w:val="right" w:leader="dot" w:pos="9298"/>
          <w:tab w:val="clear" w:pos="8870"/>
        </w:tabs>
        <w:spacing w:line="592" w:lineRule="exact"/>
        <w:rPr>
          <w:rFonts w:ascii="仿宋_GB2312" w:hAnsi="仿宋_GB2312" w:eastAsia="仿宋_GB2312" w:cs="仿宋_GB2312"/>
          <w:sz w:val="32"/>
          <w:szCs w:val="32"/>
        </w:rPr>
      </w:pPr>
      <w:r>
        <w:fldChar w:fldCharType="begin"/>
      </w:r>
      <w:r>
        <w:instrText xml:space="preserve"> HYPERLINK \l "_Toc15733" </w:instrText>
      </w:r>
      <w:r>
        <w:fldChar w:fldCharType="separate"/>
      </w:r>
      <w:r>
        <w:rPr>
          <w:rFonts w:hint="eastAsia" w:ascii="仿宋_GB2312" w:hAnsi="仿宋_GB2312" w:eastAsia="仿宋_GB2312" w:cs="仿宋_GB2312"/>
          <w:sz w:val="32"/>
          <w:szCs w:val="32"/>
        </w:rPr>
        <w:t>第五章  技术标准和要求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_Toc15733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321CEEA">
      <w:pPr>
        <w:pStyle w:val="14"/>
        <w:tabs>
          <w:tab w:val="right" w:leader="dot" w:pos="9298"/>
          <w:tab w:val="clear" w:pos="8870"/>
        </w:tabs>
        <w:spacing w:line="592" w:lineRule="exact"/>
        <w:rPr>
          <w:rFonts w:ascii="仿宋_GB2312" w:hAnsi="仿宋_GB2312" w:eastAsia="仿宋_GB2312" w:cs="仿宋_GB2312"/>
          <w:sz w:val="32"/>
          <w:szCs w:val="32"/>
        </w:rPr>
      </w:pPr>
      <w:r>
        <w:fldChar w:fldCharType="begin"/>
      </w:r>
      <w:r>
        <w:instrText xml:space="preserve"> HYPERLINK \l "_Toc18432" </w:instrText>
      </w:r>
      <w:r>
        <w:fldChar w:fldCharType="separate"/>
      </w:r>
      <w:r>
        <w:rPr>
          <w:rFonts w:hint="eastAsia" w:ascii="仿宋_GB2312" w:hAnsi="仿宋_GB2312" w:eastAsia="仿宋_GB2312" w:cs="仿宋_GB2312"/>
          <w:sz w:val="32"/>
          <w:szCs w:val="32"/>
        </w:rPr>
        <w:t>第六章 投标文件格式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_Toc18432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4EF9486F">
      <w:pPr>
        <w:pStyle w:val="10"/>
        <w:tabs>
          <w:tab w:val="right" w:leader="dot" w:pos="9298"/>
        </w:tabs>
      </w:pPr>
    </w:p>
    <w:p w14:paraId="5B117FCB">
      <w:pPr>
        <w:shd w:val="clear" w:color="auto" w:fill="FFFFFF"/>
        <w:tabs>
          <w:tab w:val="right" w:leader="dot" w:pos="8296"/>
        </w:tabs>
        <w:spacing w:before="300" w:line="278" w:lineRule="exact"/>
        <w:jc w:val="distribute"/>
        <w:rPr>
          <w:rFonts w:ascii="MingLiU" w:hAnsi="MingLiU" w:cs="MingLiU"/>
          <w:color w:val="000000"/>
          <w:kern w:val="0"/>
          <w:sz w:val="20"/>
          <w:szCs w:val="20"/>
          <w:lang w:val="zh-CN" w:bidi="zh-CN"/>
        </w:rPr>
        <w:sectPr>
          <w:footerReference r:id="rId3" w:type="default"/>
          <w:pgSz w:w="11906" w:h="16838"/>
          <w:pgMar w:top="1304" w:right="1304" w:bottom="1304" w:left="1304" w:header="851" w:footer="992" w:gutter="0"/>
          <w:pgNumType w:start="1"/>
          <w:cols w:space="425" w:num="1"/>
          <w:docGrid w:type="linesAndChars" w:linePitch="312" w:charSpace="0"/>
        </w:sectPr>
      </w:pPr>
      <w:r>
        <w:rPr>
          <w:rFonts w:hint="eastAsia" w:ascii="仿宋_GB2312" w:hAnsi="仿宋_GB2312" w:eastAsia="仿宋_GB2312" w:cs="仿宋_GB2312"/>
          <w:color w:val="000000"/>
          <w:szCs w:val="28"/>
        </w:rPr>
        <w:fldChar w:fldCharType="end"/>
      </w:r>
    </w:p>
    <w:p w14:paraId="7B501E5B">
      <w:pPr>
        <w:pStyle w:val="25"/>
        <w:keepNext w:val="0"/>
        <w:keepLines w:val="0"/>
        <w:widowControl/>
        <w:spacing w:before="0" w:after="0" w:line="592" w:lineRule="exact"/>
        <w:ind w:firstLine="216"/>
        <w:jc w:val="center"/>
        <w:outlineLvl w:val="0"/>
        <w:rPr>
          <w:rFonts w:ascii="方正小标宋简体" w:hAnsi="方正小标宋简体" w:eastAsia="方正小标宋简体" w:cs="方正小标宋简体"/>
          <w:i w:val="0"/>
          <w:color w:val="000000"/>
          <w:kern w:val="2"/>
          <w:sz w:val="44"/>
          <w:szCs w:val="44"/>
        </w:rPr>
      </w:pPr>
      <w:bookmarkStart w:id="0" w:name="_Toc30861"/>
      <w:r>
        <w:rPr>
          <w:rFonts w:hint="eastAsia" w:ascii="方正小标宋简体" w:hAnsi="方正小标宋简体" w:eastAsia="方正小标宋简体" w:cs="方正小标宋简体"/>
          <w:i w:val="0"/>
          <w:color w:val="000000"/>
          <w:kern w:val="2"/>
          <w:sz w:val="44"/>
          <w:szCs w:val="44"/>
        </w:rPr>
        <w:t>第一章 招标公告</w:t>
      </w:r>
      <w:bookmarkEnd w:id="0"/>
    </w:p>
    <w:p w14:paraId="0DA54988">
      <w:pPr>
        <w:pStyle w:val="16"/>
        <w:widowControl/>
        <w:shd w:val="clear" w:color="auto" w:fill="FFFFFF"/>
        <w:spacing w:line="592" w:lineRule="exact"/>
        <w:rPr>
          <w:rFonts w:ascii="仿宋_GB2312" w:hAnsi="仿宋_GB2312" w:eastAsia="仿宋_GB2312" w:cs="仿宋_GB2312"/>
          <w:color w:val="0F1115"/>
          <w:sz w:val="32"/>
          <w:szCs w:val="32"/>
        </w:rPr>
      </w:pPr>
      <w:r>
        <w:rPr>
          <w:rStyle w:val="21"/>
          <w:rFonts w:hint="eastAsia" w:ascii="仿宋_GB2312" w:hAnsi="仿宋_GB2312" w:eastAsia="仿宋_GB2312" w:cs="仿宋_GB2312"/>
          <w:bCs/>
          <w:color w:val="0F1115"/>
          <w:sz w:val="32"/>
          <w:szCs w:val="32"/>
          <w:shd w:val="clear" w:color="auto" w:fill="FFFFFF"/>
        </w:rPr>
        <w:t>一.招标编号：1171260130001</w:t>
      </w:r>
      <w:bookmarkStart w:id="862" w:name="_GoBack"/>
      <w:bookmarkEnd w:id="862"/>
    </w:p>
    <w:p w14:paraId="615739A8">
      <w:pPr>
        <w:pStyle w:val="16"/>
        <w:widowControl/>
        <w:shd w:val="clear" w:color="auto" w:fill="FFFFFF"/>
        <w:spacing w:line="592" w:lineRule="exact"/>
        <w:rPr>
          <w:rFonts w:ascii="仿宋_GB2312" w:hAnsi="仿宋_GB2312" w:eastAsia="仿宋_GB2312" w:cs="仿宋_GB2312"/>
          <w:sz w:val="32"/>
          <w:szCs w:val="32"/>
        </w:rPr>
      </w:pPr>
      <w:r>
        <w:rPr>
          <w:rStyle w:val="21"/>
          <w:rFonts w:hint="eastAsia" w:ascii="仿宋_GB2312" w:hAnsi="仿宋_GB2312" w:eastAsia="仿宋_GB2312" w:cs="仿宋_GB2312"/>
          <w:bCs/>
          <w:color w:val="0F1115"/>
          <w:sz w:val="32"/>
          <w:szCs w:val="32"/>
          <w:shd w:val="clear" w:color="auto" w:fill="FFFFFF"/>
        </w:rPr>
        <w:t>二.招标项目概况：</w:t>
      </w:r>
    </w:p>
    <w:p w14:paraId="6328BCBE">
      <w:pPr>
        <w:pStyle w:val="16"/>
        <w:widowControl/>
        <w:spacing w:line="592" w:lineRule="exact"/>
        <w:ind w:firstLine="321" w:firstLineChars="100"/>
        <w:rPr>
          <w:rFonts w:ascii="仿宋_GB2312" w:hAnsi="仿宋_GB2312" w:eastAsia="仿宋_GB2312" w:cs="仿宋_GB2312"/>
          <w:sz w:val="32"/>
          <w:szCs w:val="32"/>
        </w:rPr>
      </w:pPr>
      <w:r>
        <w:rPr>
          <w:rStyle w:val="21"/>
          <w:rFonts w:hint="eastAsia" w:ascii="仿宋_GB2312" w:hAnsi="仿宋_GB2312" w:eastAsia="仿宋_GB2312" w:cs="仿宋_GB2312"/>
          <w:bCs/>
          <w:color w:val="0F1115"/>
          <w:sz w:val="32"/>
          <w:szCs w:val="32"/>
          <w:shd w:val="clear" w:color="auto" w:fill="FFFFFF"/>
        </w:rPr>
        <w:t>1.项目名称</w:t>
      </w:r>
      <w:r>
        <w:rPr>
          <w:rFonts w:hint="eastAsia" w:ascii="仿宋_GB2312" w:hAnsi="仿宋_GB2312" w:eastAsia="仿宋_GB2312" w:cs="仿宋_GB2312"/>
          <w:color w:val="0F1115"/>
          <w:sz w:val="32"/>
          <w:szCs w:val="32"/>
          <w:shd w:val="clear" w:color="auto" w:fill="FFFFFF"/>
        </w:rPr>
        <w:t>：矿山连接道路破损维修工程采购</w:t>
      </w:r>
    </w:p>
    <w:p w14:paraId="1F6A7748">
      <w:pPr>
        <w:pStyle w:val="16"/>
        <w:widowControl/>
        <w:spacing w:line="592" w:lineRule="exact"/>
        <w:ind w:firstLine="321" w:firstLineChars="100"/>
        <w:rPr>
          <w:rFonts w:ascii="仿宋_GB2312" w:hAnsi="仿宋_GB2312" w:eastAsia="仿宋_GB2312" w:cs="仿宋_GB2312"/>
          <w:sz w:val="32"/>
          <w:szCs w:val="32"/>
        </w:rPr>
      </w:pPr>
      <w:r>
        <w:rPr>
          <w:rStyle w:val="21"/>
          <w:rFonts w:hint="eastAsia" w:ascii="仿宋_GB2312" w:hAnsi="仿宋_GB2312" w:eastAsia="仿宋_GB2312" w:cs="仿宋_GB2312"/>
          <w:bCs/>
          <w:color w:val="0F1115"/>
          <w:sz w:val="32"/>
          <w:szCs w:val="32"/>
          <w:shd w:val="clear" w:color="auto" w:fill="FFFFFF"/>
        </w:rPr>
        <w:t>2.建设地点</w:t>
      </w:r>
      <w:r>
        <w:rPr>
          <w:rFonts w:hint="eastAsia" w:ascii="仿宋_GB2312" w:hAnsi="仿宋_GB2312" w:eastAsia="仿宋_GB2312" w:cs="仿宋_GB2312"/>
          <w:color w:val="0F1115"/>
          <w:sz w:val="32"/>
          <w:szCs w:val="32"/>
          <w:shd w:val="clear" w:color="auto" w:fill="FFFFFF"/>
        </w:rPr>
        <w:t>：济南市章丘区官庄街道办事处弓角湾村。</w:t>
      </w:r>
    </w:p>
    <w:p w14:paraId="1F645F84">
      <w:pPr>
        <w:pStyle w:val="16"/>
        <w:widowControl/>
        <w:spacing w:line="592" w:lineRule="exact"/>
        <w:ind w:firstLine="321" w:firstLineChars="100"/>
        <w:rPr>
          <w:rFonts w:ascii="仿宋_GB2312" w:hAnsi="仿宋_GB2312" w:eastAsia="仿宋_GB2312" w:cs="仿宋_GB2312"/>
          <w:sz w:val="32"/>
          <w:szCs w:val="32"/>
        </w:rPr>
      </w:pPr>
      <w:r>
        <w:rPr>
          <w:rStyle w:val="21"/>
          <w:rFonts w:hint="eastAsia" w:ascii="仿宋_GB2312" w:hAnsi="仿宋_GB2312" w:eastAsia="仿宋_GB2312" w:cs="仿宋_GB2312"/>
          <w:bCs/>
          <w:color w:val="0F1115"/>
          <w:sz w:val="32"/>
          <w:szCs w:val="32"/>
          <w:shd w:val="clear" w:color="auto" w:fill="FFFFFF"/>
        </w:rPr>
        <w:t>3.招标范围</w:t>
      </w:r>
      <w:r>
        <w:rPr>
          <w:rFonts w:hint="eastAsia" w:ascii="仿宋_GB2312" w:hAnsi="仿宋_GB2312" w:eastAsia="仿宋_GB2312" w:cs="仿宋_GB2312"/>
          <w:color w:val="0F1115"/>
          <w:sz w:val="32"/>
          <w:szCs w:val="32"/>
          <w:shd w:val="clear" w:color="auto" w:fill="FFFFFF"/>
        </w:rPr>
        <w:t>：本项目分为两个独立的标包（A包和B包），投标人可单独投报其中一个标包，也可同时投报两个标包，但须分别编制、递交投标文件。</w:t>
      </w:r>
    </w:p>
    <w:p w14:paraId="16A6505B">
      <w:pPr>
        <w:pStyle w:val="16"/>
        <w:widowControl/>
        <w:spacing w:line="592" w:lineRule="exact"/>
        <w:ind w:firstLine="321" w:firstLineChars="100"/>
        <w:rPr>
          <w:rFonts w:ascii="仿宋_GB2312" w:hAnsi="仿宋_GB2312" w:eastAsia="仿宋_GB2312" w:cs="仿宋_GB2312"/>
          <w:sz w:val="32"/>
          <w:szCs w:val="32"/>
        </w:rPr>
      </w:pPr>
      <w:r>
        <w:rPr>
          <w:rStyle w:val="21"/>
          <w:rFonts w:hint="eastAsia" w:ascii="仿宋_GB2312" w:hAnsi="仿宋_GB2312" w:eastAsia="仿宋_GB2312" w:cs="仿宋_GB2312"/>
          <w:bCs/>
          <w:color w:val="0F1115"/>
          <w:sz w:val="32"/>
          <w:szCs w:val="32"/>
          <w:shd w:val="clear" w:color="auto" w:fill="FFFFFF"/>
        </w:rPr>
        <w:t>4.A包（沥青混合料供应包）</w:t>
      </w:r>
      <w:r>
        <w:rPr>
          <w:rFonts w:hint="eastAsia" w:ascii="仿宋_GB2312" w:hAnsi="仿宋_GB2312" w:eastAsia="仿宋_GB2312" w:cs="仿宋_GB2312"/>
          <w:color w:val="0F1115"/>
          <w:sz w:val="32"/>
          <w:szCs w:val="32"/>
          <w:shd w:val="clear" w:color="auto" w:fill="FFFFFF"/>
        </w:rPr>
        <w:t>：为本项目道路维修工程提供所需的全部沥青混合料，包括SBS改性沥青、AC-20粗粒式沥青混凝土、SMA-13细粒式沥青混凝土（玄武岩石料）、高渗透型乳化沥青、SBS改性乳化沥青等。具体内容详见工程量清单及技术要求。</w:t>
      </w:r>
    </w:p>
    <w:p w14:paraId="13E19551">
      <w:pPr>
        <w:pStyle w:val="16"/>
        <w:widowControl/>
        <w:spacing w:line="592" w:lineRule="exact"/>
        <w:ind w:firstLine="321" w:firstLineChars="100"/>
        <w:rPr>
          <w:rFonts w:ascii="仿宋_GB2312" w:hAnsi="仿宋_GB2312" w:eastAsia="仿宋_GB2312" w:cs="仿宋_GB2312"/>
          <w:sz w:val="32"/>
          <w:szCs w:val="32"/>
        </w:rPr>
      </w:pPr>
      <w:r>
        <w:rPr>
          <w:rStyle w:val="21"/>
          <w:rFonts w:hint="eastAsia" w:ascii="仿宋_GB2312" w:hAnsi="仿宋_GB2312" w:eastAsia="仿宋_GB2312" w:cs="仿宋_GB2312"/>
          <w:bCs/>
          <w:color w:val="0F1115"/>
          <w:sz w:val="32"/>
          <w:szCs w:val="32"/>
          <w:shd w:val="clear" w:color="auto" w:fill="FFFFFF"/>
        </w:rPr>
        <w:t>5.B包（道路维修施工包）</w:t>
      </w:r>
      <w:r>
        <w:rPr>
          <w:rFonts w:hint="eastAsia" w:ascii="仿宋_GB2312" w:hAnsi="仿宋_GB2312" w:eastAsia="仿宋_GB2312" w:cs="仿宋_GB2312"/>
          <w:color w:val="0F1115"/>
          <w:sz w:val="32"/>
          <w:szCs w:val="32"/>
          <w:shd w:val="clear" w:color="auto" w:fill="FFFFFF"/>
        </w:rPr>
        <w:t>：道路铣刨、甲供水稳料摊铺、甲供（A包）沥青混合料摊铺压实等全部施工内容。具体内容详见工程量清单。</w:t>
      </w:r>
    </w:p>
    <w:p w14:paraId="6CFCB348">
      <w:pPr>
        <w:pStyle w:val="16"/>
        <w:widowControl/>
        <w:spacing w:line="592" w:lineRule="exact"/>
        <w:ind w:firstLine="321" w:firstLineChars="100"/>
        <w:rPr>
          <w:rFonts w:ascii="仿宋_GB2312" w:hAnsi="仿宋_GB2312" w:eastAsia="仿宋_GB2312" w:cs="仿宋_GB2312"/>
          <w:b/>
          <w:bCs/>
          <w:color w:val="0F1115"/>
          <w:sz w:val="32"/>
          <w:szCs w:val="32"/>
          <w:shd w:val="clear" w:color="auto" w:fill="FFFFFF"/>
        </w:rPr>
      </w:pPr>
      <w:r>
        <w:rPr>
          <w:rFonts w:hint="eastAsia" w:ascii="仿宋_GB2312" w:hAnsi="仿宋_GB2312" w:eastAsia="仿宋_GB2312" w:cs="仿宋_GB2312"/>
          <w:b/>
          <w:bCs/>
          <w:color w:val="0F1115"/>
          <w:sz w:val="32"/>
          <w:szCs w:val="32"/>
          <w:shd w:val="clear" w:color="auto" w:fill="FFFFFF"/>
        </w:rPr>
        <w:t>6.工期/供货期要求：</w:t>
      </w:r>
    </w:p>
    <w:p w14:paraId="42762BFE">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6.1材料</w:t>
      </w:r>
      <w:r>
        <w:rPr>
          <w:rFonts w:ascii="仿宋_GB2312" w:hAnsi="仿宋_GB2312" w:eastAsia="仿宋_GB2312" w:cs="仿宋_GB2312"/>
          <w:color w:val="0F1115"/>
          <w:sz w:val="32"/>
          <w:szCs w:val="32"/>
          <w:shd w:val="clear" w:color="auto" w:fill="FFFFFF"/>
        </w:rPr>
        <w:t>A包（材料供应）：必须严格按照施工进度要求，在以下强制性节点前将合格材料运抵现场：</w:t>
      </w:r>
    </w:p>
    <w:p w14:paraId="44B5637E">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6.2</w:t>
      </w:r>
      <w:r>
        <w:rPr>
          <w:rFonts w:ascii="仿宋_GB2312" w:hAnsi="仿宋_GB2312" w:eastAsia="仿宋_GB2312" w:cs="仿宋_GB2312"/>
          <w:color w:val="0F1115"/>
          <w:sz w:val="32"/>
          <w:szCs w:val="32"/>
          <w:shd w:val="clear" w:color="auto" w:fill="FFFFFF"/>
        </w:rPr>
        <w:t>第二阶段（面层施工）：2026年2月24日（正月初八）至2月27日（正月十一），按施工计划精确供应</w:t>
      </w:r>
      <w:r>
        <w:rPr>
          <w:rFonts w:hint="eastAsia" w:ascii="仿宋_GB2312" w:hAnsi="仿宋_GB2312" w:eastAsia="仿宋_GB2312" w:cs="仿宋_GB2312"/>
          <w:color w:val="0F1115"/>
          <w:sz w:val="32"/>
          <w:szCs w:val="32"/>
          <w:shd w:val="clear" w:color="auto" w:fill="FFFFFF"/>
        </w:rPr>
        <w:t>SBS改性沥青、AC-20粗粒式沥青混凝土、SMA-13细粒式沥青混凝土（玄武岩石料）、高渗透型乳化沥青、SBS改性乳化沥青等</w:t>
      </w:r>
      <w:r>
        <w:rPr>
          <w:rFonts w:ascii="仿宋_GB2312" w:hAnsi="仿宋_GB2312" w:eastAsia="仿宋_GB2312" w:cs="仿宋_GB2312"/>
          <w:color w:val="0F1115"/>
          <w:sz w:val="32"/>
          <w:szCs w:val="32"/>
          <w:shd w:val="clear" w:color="auto" w:fill="FFFFFF"/>
        </w:rPr>
        <w:t>。</w:t>
      </w:r>
    </w:p>
    <w:p w14:paraId="4DAD55B4">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6.3施工</w:t>
      </w:r>
      <w:r>
        <w:rPr>
          <w:rFonts w:ascii="仿宋_GB2312" w:hAnsi="仿宋_GB2312" w:eastAsia="仿宋_GB2312" w:cs="仿宋_GB2312"/>
          <w:color w:val="0F1115"/>
          <w:sz w:val="32"/>
          <w:szCs w:val="32"/>
          <w:shd w:val="clear" w:color="auto" w:fill="FFFFFF"/>
        </w:rPr>
        <w:t>B包（工程施工）：</w:t>
      </w:r>
    </w:p>
    <w:p w14:paraId="79D0D3FD">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6.4</w:t>
      </w:r>
      <w:r>
        <w:rPr>
          <w:rFonts w:ascii="仿宋_GB2312" w:hAnsi="仿宋_GB2312" w:eastAsia="仿宋_GB2312" w:cs="仿宋_GB2312"/>
          <w:color w:val="0F1115"/>
          <w:sz w:val="32"/>
          <w:szCs w:val="32"/>
          <w:shd w:val="clear" w:color="auto" w:fill="FFFFFF"/>
        </w:rPr>
        <w:t>第一阶段（基层施工）：2026年2月13日（腊月二十六）至2月14日（腊月二十七），必须完成全部道路的水稳碎石基层的铺设与养护覆盖工作。</w:t>
      </w:r>
    </w:p>
    <w:p w14:paraId="2520F6A0">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6.5</w:t>
      </w:r>
      <w:r>
        <w:rPr>
          <w:rFonts w:ascii="仿宋_GB2312" w:hAnsi="仿宋_GB2312" w:eastAsia="仿宋_GB2312" w:cs="仿宋_GB2312"/>
          <w:color w:val="0F1115"/>
          <w:sz w:val="32"/>
          <w:szCs w:val="32"/>
          <w:shd w:val="clear" w:color="auto" w:fill="FFFFFF"/>
        </w:rPr>
        <w:t>第二阶段（面层及附属施工）：2026年2月24日（正月初八）至2月27日（正月十一），必须完成原沥青道路的铣刨及沥青混凝土面层的摊铺、压实工作。</w:t>
      </w:r>
    </w:p>
    <w:p w14:paraId="434CB0B2">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6.6</w:t>
      </w:r>
      <w:r>
        <w:rPr>
          <w:rFonts w:ascii="仿宋_GB2312" w:hAnsi="仿宋_GB2312" w:eastAsia="仿宋_GB2312" w:cs="仿宋_GB2312"/>
          <w:color w:val="0F1115"/>
          <w:sz w:val="32"/>
          <w:szCs w:val="32"/>
          <w:shd w:val="clear" w:color="auto" w:fill="FFFFFF"/>
        </w:rPr>
        <w:t>总有效施工工期为6个日历日。中间间隔期为水稳层必要的养护期及春节假期，承包人应做好施工组织，确保在2026年2月28日前全面完工并通车试行。</w:t>
      </w:r>
    </w:p>
    <w:p w14:paraId="06FE2B61">
      <w:pPr>
        <w:pStyle w:val="16"/>
        <w:widowControl/>
        <w:spacing w:line="592" w:lineRule="exact"/>
        <w:rPr>
          <w:rFonts w:ascii="仿宋_GB2312" w:hAnsi="仿宋_GB2312" w:eastAsia="仿宋_GB2312" w:cs="仿宋_GB2312"/>
          <w:b/>
          <w:bCs/>
          <w:color w:val="0F1115"/>
          <w:sz w:val="32"/>
          <w:szCs w:val="32"/>
          <w:shd w:val="clear" w:color="auto" w:fill="FFFFFF"/>
        </w:rPr>
      </w:pPr>
      <w:r>
        <w:rPr>
          <w:rFonts w:hint="eastAsia" w:ascii="仿宋_GB2312" w:hAnsi="仿宋_GB2312" w:eastAsia="仿宋_GB2312" w:cs="仿宋_GB2312"/>
          <w:b/>
          <w:bCs/>
          <w:color w:val="0F1115"/>
          <w:sz w:val="32"/>
          <w:szCs w:val="32"/>
          <w:shd w:val="clear" w:color="auto" w:fill="FFFFFF"/>
        </w:rPr>
        <w:t>三.</w:t>
      </w:r>
      <w:r>
        <w:rPr>
          <w:rFonts w:ascii="仿宋_GB2312" w:hAnsi="仿宋_GB2312" w:eastAsia="仿宋_GB2312" w:cs="仿宋_GB2312"/>
          <w:b/>
          <w:bCs/>
          <w:color w:val="0F1115"/>
          <w:sz w:val="32"/>
          <w:szCs w:val="32"/>
          <w:shd w:val="clear" w:color="auto" w:fill="FFFFFF"/>
        </w:rPr>
        <w:t>材料质量要求（针对A包及B包相关材料）：</w:t>
      </w:r>
    </w:p>
    <w:p w14:paraId="5CF95636">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本项目为矿山主干道系统性维修工程，修复后的道路需长期承受高强度、高频次的重载交通荷载。为确保道路面层具备极高的抗车辙、抗疲劳、耐久及抗滑性能，其核心材料沥青及相关混合料的质量是决定工程成败的关键。同时，沥青材料对温度敏感，长距离运输易导致温度离析与性能衰减，直接影响摊铺与最终路用效果。因此，严格控制沥青材料质量，并确保其供应源具备稳定生产高品质产品的能力与合理的运输半径，特规定以下要求：</w:t>
      </w:r>
    </w:p>
    <w:p w14:paraId="78FA0506">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1.</w:t>
      </w:r>
      <w:r>
        <w:rPr>
          <w:rFonts w:ascii="仿宋_GB2312" w:hAnsi="仿宋_GB2312" w:eastAsia="仿宋_GB2312" w:cs="仿宋_GB2312"/>
          <w:color w:val="0F1115"/>
          <w:sz w:val="32"/>
          <w:szCs w:val="32"/>
          <w:shd w:val="clear" w:color="auto" w:fill="FFFFFF"/>
        </w:rPr>
        <w:t>核心沥青材料技术指标要求：</w:t>
      </w:r>
    </w:p>
    <w:p w14:paraId="30F4BAC6">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2.</w:t>
      </w:r>
      <w:r>
        <w:rPr>
          <w:rFonts w:ascii="仿宋_GB2312" w:hAnsi="仿宋_GB2312" w:eastAsia="仿宋_GB2312" w:cs="仿宋_GB2312"/>
          <w:color w:val="0F1115"/>
          <w:sz w:val="32"/>
          <w:szCs w:val="32"/>
          <w:shd w:val="clear" w:color="auto" w:fill="FFFFFF"/>
        </w:rPr>
        <w:t>所有沥青材料必须符合但不限于《公路沥青路面施工技术规范》等国家及行业最新标准。</w:t>
      </w:r>
    </w:p>
    <w:p w14:paraId="467BDD1B">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3.</w:t>
      </w:r>
      <w:r>
        <w:rPr>
          <w:rFonts w:ascii="仿宋_GB2312" w:hAnsi="仿宋_GB2312" w:eastAsia="仿宋_GB2312" w:cs="仿宋_GB2312"/>
          <w:color w:val="0F1115"/>
          <w:sz w:val="32"/>
          <w:szCs w:val="32"/>
          <w:shd w:val="clear" w:color="auto" w:fill="FFFFFF"/>
        </w:rPr>
        <w:t>基质沥青：用于生产SBS改性沥青、乳化沥青的基质沥青，必须为全新生产的石油沥青，严禁使用任何来源的回收沥青路面材料（RAP）、废旧沥青或再生沥青。</w:t>
      </w:r>
    </w:p>
    <w:p w14:paraId="2ECB38D6">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4.沥青</w:t>
      </w:r>
      <w:r>
        <w:rPr>
          <w:rFonts w:ascii="仿宋_GB2312" w:hAnsi="仿宋_GB2312" w:eastAsia="仿宋_GB2312" w:cs="仿宋_GB2312"/>
          <w:color w:val="0F1115"/>
          <w:sz w:val="32"/>
          <w:szCs w:val="32"/>
          <w:shd w:val="clear" w:color="auto" w:fill="FFFFFF"/>
        </w:rPr>
        <w:t>SBS改性剂及添加剂：必须为原生全新材料，性能指标稳定。</w:t>
      </w:r>
    </w:p>
    <w:p w14:paraId="0622FCEA">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5.</w:t>
      </w:r>
      <w:r>
        <w:rPr>
          <w:rFonts w:ascii="仿宋_GB2312" w:hAnsi="仿宋_GB2312" w:eastAsia="仿宋_GB2312" w:cs="仿宋_GB2312"/>
          <w:color w:val="0F1115"/>
          <w:sz w:val="32"/>
          <w:szCs w:val="32"/>
          <w:shd w:val="clear" w:color="auto" w:fill="FFFFFF"/>
        </w:rPr>
        <w:t>供应商须有能力提供其基质沥青的原始采购来源及证明（如基础沥青的出厂质量报告）。</w:t>
      </w:r>
    </w:p>
    <w:p w14:paraId="5562BFE3">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6.</w:t>
      </w:r>
      <w:r>
        <w:rPr>
          <w:rFonts w:ascii="仿宋_GB2312" w:hAnsi="仿宋_GB2312" w:eastAsia="仿宋_GB2312" w:cs="仿宋_GB2312"/>
          <w:color w:val="0F1115"/>
          <w:sz w:val="32"/>
          <w:szCs w:val="32"/>
          <w:shd w:val="clear" w:color="auto" w:fill="FFFFFF"/>
        </w:rPr>
        <w:t>材料供应商资格与保障能力要求（A包投标人须满足）：</w:t>
      </w:r>
    </w:p>
    <w:p w14:paraId="15EB170E">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7.</w:t>
      </w:r>
      <w:r>
        <w:rPr>
          <w:rFonts w:ascii="仿宋_GB2312" w:hAnsi="仿宋_GB2312" w:eastAsia="仿宋_GB2312" w:cs="仿宋_GB2312"/>
          <w:color w:val="0F1115"/>
          <w:sz w:val="32"/>
          <w:szCs w:val="32"/>
          <w:shd w:val="clear" w:color="auto" w:fill="FFFFFF"/>
        </w:rPr>
        <w:t>生产资质与能力：具备合法的生产经营资格</w:t>
      </w:r>
      <w:r>
        <w:rPr>
          <w:rFonts w:hint="eastAsia" w:ascii="仿宋_GB2312" w:hAnsi="仿宋_GB2312" w:eastAsia="仿宋_GB2312" w:cs="仿宋_GB2312"/>
          <w:color w:val="0F1115"/>
          <w:sz w:val="32"/>
          <w:szCs w:val="32"/>
          <w:shd w:val="clear" w:color="auto" w:fill="FFFFFF"/>
        </w:rPr>
        <w:t>的搅拌站</w:t>
      </w:r>
      <w:r>
        <w:rPr>
          <w:rFonts w:ascii="仿宋_GB2312" w:hAnsi="仿宋_GB2312" w:eastAsia="仿宋_GB2312" w:cs="仿宋_GB2312"/>
          <w:color w:val="0F1115"/>
          <w:sz w:val="32"/>
          <w:szCs w:val="32"/>
          <w:shd w:val="clear" w:color="auto" w:fill="FFFFFF"/>
        </w:rPr>
        <w:t>，拥有固定的、先进的生产基地，SBS改性沥青生产线必须采用成熟的胶体磨或高剪切工艺。</w:t>
      </w:r>
    </w:p>
    <w:p w14:paraId="684D5080">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8.</w:t>
      </w:r>
      <w:r>
        <w:rPr>
          <w:rFonts w:ascii="仿宋_GB2312" w:hAnsi="仿宋_GB2312" w:eastAsia="仿宋_GB2312" w:cs="仿宋_GB2312"/>
          <w:color w:val="0F1115"/>
          <w:sz w:val="32"/>
          <w:szCs w:val="32"/>
          <w:shd w:val="clear" w:color="auto" w:fill="FFFFFF"/>
        </w:rPr>
        <w:t>质量保证体系：通过ISO9001质量管理体系认证，具备完善的实验室检测能力，能对上述所有关键指标进行自检，并承诺接受招标人及第三方机构的抽检。</w:t>
      </w:r>
    </w:p>
    <w:p w14:paraId="0F1FD727">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9.</w:t>
      </w:r>
      <w:r>
        <w:rPr>
          <w:rFonts w:ascii="仿宋_GB2312" w:hAnsi="仿宋_GB2312" w:eastAsia="仿宋_GB2312" w:cs="仿宋_GB2312"/>
          <w:color w:val="0F1115"/>
          <w:sz w:val="32"/>
          <w:szCs w:val="32"/>
          <w:shd w:val="clear" w:color="auto" w:fill="FFFFFF"/>
        </w:rPr>
        <w:t>本地化服务与成功经验：为保障供应时效性与材料温度稳定性，优先推荐运输半径在50公里范围内、能提供24小时内应急响应服务的生产供应商。</w:t>
      </w:r>
    </w:p>
    <w:p w14:paraId="03D550D3">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10.</w:t>
      </w:r>
      <w:r>
        <w:rPr>
          <w:rFonts w:ascii="仿宋_GB2312" w:hAnsi="仿宋_GB2312" w:eastAsia="仿宋_GB2312" w:cs="仿宋_GB2312"/>
          <w:color w:val="0F1115"/>
          <w:sz w:val="32"/>
          <w:szCs w:val="32"/>
          <w:shd w:val="clear" w:color="auto" w:fill="FFFFFF"/>
        </w:rPr>
        <w:t>供货承诺：A包投标单位必须针对本项目向招标人出具《材料质量保证承诺函》，明确承诺按技术要求的最高标准供货，并承担因材料质量引发的一切责任。</w:t>
      </w:r>
    </w:p>
    <w:p w14:paraId="4B0EA133">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11.</w:t>
      </w:r>
      <w:r>
        <w:rPr>
          <w:rFonts w:ascii="仿宋_GB2312" w:hAnsi="仿宋_GB2312" w:eastAsia="仿宋_GB2312" w:cs="仿宋_GB2312"/>
          <w:color w:val="0F1115"/>
          <w:sz w:val="32"/>
          <w:szCs w:val="32"/>
          <w:shd w:val="clear" w:color="auto" w:fill="FFFFFF"/>
        </w:rPr>
        <w:t>企业实力与稳定性：优先推荐生产经营稳定、资金实力雄厚、社会信誉优良的供应商。</w:t>
      </w:r>
    </w:p>
    <w:p w14:paraId="3E69AB03">
      <w:pPr>
        <w:pStyle w:val="16"/>
        <w:widowControl/>
        <w:spacing w:line="592" w:lineRule="exact"/>
        <w:rPr>
          <w:rFonts w:ascii="仿宋_GB2312" w:hAnsi="仿宋_GB2312" w:eastAsia="仿宋_GB2312" w:cs="仿宋_GB2312"/>
          <w:b/>
          <w:bCs/>
          <w:color w:val="0F1115"/>
          <w:sz w:val="32"/>
          <w:szCs w:val="32"/>
          <w:shd w:val="clear" w:color="auto" w:fill="FFFFFF"/>
        </w:rPr>
      </w:pPr>
      <w:r>
        <w:rPr>
          <w:rFonts w:hint="eastAsia" w:ascii="仿宋_GB2312" w:hAnsi="仿宋_GB2312" w:eastAsia="仿宋_GB2312" w:cs="仿宋_GB2312"/>
          <w:b/>
          <w:bCs/>
          <w:color w:val="0F1115"/>
          <w:sz w:val="32"/>
          <w:szCs w:val="32"/>
          <w:shd w:val="clear" w:color="auto" w:fill="FFFFFF"/>
        </w:rPr>
        <w:t>四.</w:t>
      </w:r>
      <w:r>
        <w:rPr>
          <w:rFonts w:ascii="仿宋_GB2312" w:hAnsi="仿宋_GB2312" w:eastAsia="仿宋_GB2312" w:cs="仿宋_GB2312"/>
          <w:b/>
          <w:bCs/>
          <w:color w:val="0F1115"/>
          <w:sz w:val="32"/>
          <w:szCs w:val="32"/>
          <w:shd w:val="clear" w:color="auto" w:fill="FFFFFF"/>
        </w:rPr>
        <w:t>验证与管理</w:t>
      </w:r>
    </w:p>
    <w:p w14:paraId="7C0D562A">
      <w:pPr>
        <w:pStyle w:val="16"/>
        <w:widowControl/>
        <w:spacing w:line="592" w:lineRule="exact"/>
        <w:ind w:firstLine="643"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b/>
          <w:bCs/>
          <w:color w:val="0F1115"/>
          <w:sz w:val="32"/>
          <w:szCs w:val="32"/>
          <w:shd w:val="clear" w:color="auto" w:fill="FFFFFF"/>
        </w:rPr>
        <w:t>1.</w:t>
      </w:r>
      <w:r>
        <w:rPr>
          <w:rFonts w:ascii="仿宋_GB2312" w:hAnsi="仿宋_GB2312" w:eastAsia="仿宋_GB2312" w:cs="仿宋_GB2312"/>
          <w:color w:val="0F1115"/>
          <w:sz w:val="32"/>
          <w:szCs w:val="32"/>
          <w:shd w:val="clear" w:color="auto" w:fill="FFFFFF"/>
        </w:rPr>
        <w:t>备案：A包中标人须在确定中标后1日内，将全套资质报招标人书面备案。</w:t>
      </w:r>
    </w:p>
    <w:p w14:paraId="349F478E">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2.</w:t>
      </w:r>
      <w:r>
        <w:rPr>
          <w:rFonts w:ascii="仿宋_GB2312" w:hAnsi="仿宋_GB2312" w:eastAsia="仿宋_GB2312" w:cs="仿宋_GB2312"/>
          <w:color w:val="0F1115"/>
          <w:sz w:val="32"/>
          <w:szCs w:val="32"/>
          <w:shd w:val="clear" w:color="auto" w:fill="FFFFFF"/>
        </w:rPr>
        <w:t>验收：每一批次沥青材料进场前，A包中标人必须提供该批次的出厂合格证及全套检测报告，任何不符合本技术要求的材料将被无条件清退，由此造成的损失由A包中标人承担。B包中标人负责现场初步验收并有权拒收不合格材料。</w:t>
      </w:r>
    </w:p>
    <w:p w14:paraId="64D29BE9">
      <w:pPr>
        <w:pStyle w:val="16"/>
        <w:widowControl/>
        <w:spacing w:line="592" w:lineRule="exact"/>
        <w:rPr>
          <w:rFonts w:ascii="仿宋_GB2312" w:hAnsi="仿宋_GB2312" w:eastAsia="仿宋_GB2312" w:cs="仿宋_GB2312"/>
          <w:b/>
          <w:bCs/>
          <w:color w:val="0F1115"/>
          <w:sz w:val="32"/>
          <w:szCs w:val="32"/>
          <w:shd w:val="clear" w:color="auto" w:fill="FFFFFF"/>
        </w:rPr>
      </w:pPr>
      <w:r>
        <w:rPr>
          <w:rFonts w:hint="eastAsia" w:ascii="仿宋_GB2312" w:hAnsi="仿宋_GB2312" w:eastAsia="仿宋_GB2312" w:cs="仿宋_GB2312"/>
          <w:b/>
          <w:bCs/>
          <w:color w:val="0F1115"/>
          <w:sz w:val="32"/>
          <w:szCs w:val="32"/>
          <w:shd w:val="clear" w:color="auto" w:fill="FFFFFF"/>
        </w:rPr>
        <w:t>五.</w:t>
      </w:r>
      <w:r>
        <w:rPr>
          <w:rFonts w:ascii="仿宋_GB2312" w:hAnsi="仿宋_GB2312" w:eastAsia="仿宋_GB2312" w:cs="仿宋_GB2312"/>
          <w:b/>
          <w:bCs/>
          <w:color w:val="0F1115"/>
          <w:sz w:val="32"/>
          <w:szCs w:val="32"/>
          <w:shd w:val="clear" w:color="auto" w:fill="FFFFFF"/>
        </w:rPr>
        <w:t>投标人资格要求：</w:t>
      </w:r>
    </w:p>
    <w:p w14:paraId="34261DBB">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1.</w:t>
      </w:r>
      <w:r>
        <w:rPr>
          <w:rFonts w:ascii="仿宋_GB2312" w:hAnsi="仿宋_GB2312" w:eastAsia="仿宋_GB2312" w:cs="仿宋_GB2312"/>
          <w:color w:val="0F1115"/>
          <w:sz w:val="32"/>
          <w:szCs w:val="32"/>
          <w:shd w:val="clear" w:color="auto" w:fill="FFFFFF"/>
        </w:rPr>
        <w:t>通用要求：依法成立，具有法人资格和一般纳税人资格，有依法缴纳税收和社会保障金的良好纪录，在经营活动中没有违法记录。</w:t>
      </w:r>
    </w:p>
    <w:p w14:paraId="5619ABD6">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2.</w:t>
      </w:r>
      <w:r>
        <w:rPr>
          <w:rFonts w:ascii="仿宋_GB2312" w:hAnsi="仿宋_GB2312" w:eastAsia="仿宋_GB2312" w:cs="仿宋_GB2312"/>
          <w:color w:val="0F1115"/>
          <w:sz w:val="32"/>
          <w:szCs w:val="32"/>
          <w:shd w:val="clear" w:color="auto" w:fill="FFFFFF"/>
        </w:rPr>
        <w:t>A包（材料供应）投标人专项资格要求：</w:t>
      </w:r>
    </w:p>
    <w:p w14:paraId="1017FD37">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2.1</w:t>
      </w:r>
      <w:r>
        <w:rPr>
          <w:rFonts w:ascii="仿宋_GB2312" w:hAnsi="仿宋_GB2312" w:eastAsia="仿宋_GB2312" w:cs="仿宋_GB2312"/>
          <w:color w:val="0F1115"/>
          <w:sz w:val="32"/>
          <w:szCs w:val="32"/>
          <w:shd w:val="clear" w:color="auto" w:fill="FFFFFF"/>
        </w:rPr>
        <w:t>具备沥青混合料生产、供应相关合法资质</w:t>
      </w:r>
      <w:r>
        <w:rPr>
          <w:rFonts w:hint="eastAsia" w:ascii="仿宋_GB2312" w:hAnsi="仿宋_GB2312" w:eastAsia="仿宋_GB2312" w:cs="仿宋_GB2312"/>
          <w:color w:val="0F1115"/>
          <w:sz w:val="32"/>
          <w:szCs w:val="32"/>
          <w:shd w:val="clear" w:color="auto" w:fill="FFFFFF"/>
          <w:lang w:eastAsia="zh-CN"/>
        </w:rPr>
        <w:t>。</w:t>
      </w:r>
      <w:r>
        <w:rPr>
          <w:rFonts w:hint="eastAsia" w:ascii="仿宋_GB2312" w:hAnsi="仿宋_GB2312" w:eastAsia="仿宋_GB2312" w:cs="仿宋_GB2312"/>
          <w:color w:val="0F1115"/>
          <w:sz w:val="32"/>
          <w:szCs w:val="32"/>
          <w:shd w:val="clear" w:color="auto" w:fill="FFFFFF"/>
        </w:rPr>
        <w:t>与沥青拌合站签订有效长期供货协议（或合作协议）等能够证明自身供货能力的，或自身具备同等沥青供货能力的施工单位，视同具备</w:t>
      </w:r>
      <w:r>
        <w:rPr>
          <w:rFonts w:hint="eastAsia" w:ascii="仿宋_GB2312" w:hAnsi="仿宋_GB2312" w:eastAsia="仿宋_GB2312" w:cs="仿宋_GB2312"/>
          <w:color w:val="0F1115"/>
          <w:sz w:val="32"/>
          <w:szCs w:val="32"/>
          <w:shd w:val="clear" w:color="auto" w:fill="FFFFFF"/>
          <w:lang w:val="en-US" w:eastAsia="zh-CN"/>
        </w:rPr>
        <w:t>投标资格</w:t>
      </w:r>
      <w:r>
        <w:rPr>
          <w:rFonts w:hint="eastAsia" w:ascii="仿宋_GB2312" w:hAnsi="仿宋_GB2312" w:eastAsia="仿宋_GB2312" w:cs="仿宋_GB2312"/>
          <w:color w:val="0F1115"/>
          <w:sz w:val="32"/>
          <w:szCs w:val="32"/>
          <w:shd w:val="clear" w:color="auto" w:fill="FFFFFF"/>
        </w:rPr>
        <w:t>。</w:t>
      </w:r>
    </w:p>
    <w:p w14:paraId="37360BF4">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2.2</w:t>
      </w:r>
      <w:r>
        <w:rPr>
          <w:rFonts w:ascii="仿宋_GB2312" w:hAnsi="仿宋_GB2312" w:eastAsia="仿宋_GB2312" w:cs="仿宋_GB2312"/>
          <w:color w:val="0F1115"/>
          <w:sz w:val="32"/>
          <w:szCs w:val="32"/>
          <w:shd w:val="clear" w:color="auto" w:fill="FFFFFF"/>
        </w:rPr>
        <w:t>拥有固定的、先进的生产基地，SBS改性沥青生产线必须采用成熟的胶体磨或高剪切工艺。</w:t>
      </w:r>
    </w:p>
    <w:p w14:paraId="1CA06284">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2.3</w:t>
      </w:r>
      <w:r>
        <w:rPr>
          <w:rFonts w:ascii="仿宋_GB2312" w:hAnsi="仿宋_GB2312" w:eastAsia="仿宋_GB2312" w:cs="仿宋_GB2312"/>
          <w:color w:val="0F1115"/>
          <w:sz w:val="32"/>
          <w:szCs w:val="32"/>
          <w:shd w:val="clear" w:color="auto" w:fill="FFFFFF"/>
        </w:rPr>
        <w:t>通过ISO9001质量管理体系认证。</w:t>
      </w:r>
    </w:p>
    <w:p w14:paraId="4359D17E">
      <w:pPr>
        <w:pStyle w:val="16"/>
        <w:widowControl/>
        <w:spacing w:line="592" w:lineRule="exact"/>
        <w:ind w:firstLine="640" w:firstLineChars="200"/>
      </w:pPr>
      <w:r>
        <w:rPr>
          <w:rFonts w:hint="eastAsia" w:ascii="仿宋_GB2312" w:hAnsi="仿宋_GB2312" w:eastAsia="仿宋_GB2312" w:cs="仿宋_GB2312"/>
          <w:color w:val="0F1115"/>
          <w:sz w:val="32"/>
          <w:szCs w:val="32"/>
          <w:shd w:val="clear" w:color="auto" w:fill="FFFFFF"/>
        </w:rPr>
        <w:t>2.4</w:t>
      </w:r>
      <w:r>
        <w:rPr>
          <w:rFonts w:ascii="仿宋_GB2312" w:hAnsi="仿宋_GB2312" w:eastAsia="仿宋_GB2312" w:cs="仿宋_GB2312"/>
          <w:color w:val="0F1115"/>
          <w:sz w:val="32"/>
          <w:szCs w:val="32"/>
          <w:shd w:val="clear" w:color="auto" w:fill="FFFFFF"/>
        </w:rPr>
        <w:t>投标人自2023年1月至2025年12月（3年）完成过类似工程（重载道路沥青混合料供应）3个及以上的供应业绩（需要提供证明材料）。</w:t>
      </w:r>
    </w:p>
    <w:p w14:paraId="4A36D152">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2.5</w:t>
      </w:r>
      <w:r>
        <w:rPr>
          <w:rFonts w:ascii="仿宋_GB2312" w:hAnsi="仿宋_GB2312" w:eastAsia="仿宋_GB2312" w:cs="仿宋_GB2312"/>
          <w:color w:val="0F1115"/>
          <w:sz w:val="32"/>
          <w:szCs w:val="32"/>
          <w:shd w:val="clear" w:color="auto" w:fill="FFFFFF"/>
        </w:rPr>
        <w:t>财务状况良好，需提供近3年度（2023年、2024年、2025年）财务状况表(复印件加盖公章)。</w:t>
      </w:r>
    </w:p>
    <w:p w14:paraId="3B9EBDC6">
      <w:pPr>
        <w:pStyle w:val="16"/>
        <w:widowControl/>
        <w:spacing w:line="592" w:lineRule="exact"/>
        <w:ind w:firstLine="640" w:firstLineChars="200"/>
        <w:jc w:val="left"/>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2.6</w:t>
      </w:r>
      <w:r>
        <w:rPr>
          <w:rFonts w:ascii="仿宋_GB2312" w:hAnsi="仿宋_GB2312" w:eastAsia="仿宋_GB2312" w:cs="仿宋_GB2312"/>
          <w:color w:val="0F1115"/>
          <w:sz w:val="32"/>
          <w:szCs w:val="32"/>
          <w:shd w:val="clear" w:color="auto" w:fill="FFFFFF"/>
        </w:rPr>
        <w:t>投标人自2023年1月1日至2025年12月31日止（3年）投标人社会信誉自查承诺（盖公司公章），投标人在报名时需提供当日“信用中国”（</w:t>
      </w:r>
      <w:r>
        <w:fldChar w:fldCharType="begin"/>
      </w:r>
      <w:r>
        <w:instrText xml:space="preserve"> HYPERLINK "https://www.creditchina.gov.cn/" \t "https://chat.deepseek.com/a/chat/s/_blank" </w:instrText>
      </w:r>
      <w:r>
        <w:fldChar w:fldCharType="separate"/>
      </w:r>
      <w:r>
        <w:rPr>
          <w:rFonts w:ascii="仿宋_GB2312" w:hAnsi="仿宋_GB2312" w:eastAsia="仿宋_GB2312" w:cs="仿宋_GB2312"/>
          <w:color w:val="0F1115"/>
          <w:sz w:val="32"/>
          <w:szCs w:val="32"/>
          <w:shd w:val="clear" w:color="auto" w:fill="FFFFFF"/>
        </w:rPr>
        <w:t>www.creditchina.gov.cn</w:t>
      </w:r>
      <w:r>
        <w:rPr>
          <w:rFonts w:ascii="仿宋_GB2312" w:hAnsi="仿宋_GB2312" w:eastAsia="仿宋_GB2312" w:cs="仿宋_GB2312"/>
          <w:color w:val="0F1115"/>
          <w:sz w:val="32"/>
          <w:szCs w:val="32"/>
          <w:shd w:val="clear" w:color="auto" w:fill="FFFFFF"/>
        </w:rPr>
        <w:fldChar w:fldCharType="end"/>
      </w:r>
      <w:r>
        <w:rPr>
          <w:rFonts w:ascii="仿宋_GB2312" w:hAnsi="仿宋_GB2312" w:eastAsia="仿宋_GB2312" w:cs="仿宋_GB2312"/>
          <w:color w:val="0F1115"/>
          <w:sz w:val="32"/>
          <w:szCs w:val="32"/>
          <w:shd w:val="clear" w:color="auto" w:fill="FFFFFF"/>
        </w:rPr>
        <w:t>）查询本单位是否为失信被执行人的网页截图。</w:t>
      </w:r>
    </w:p>
    <w:p w14:paraId="30E222D0">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3.</w:t>
      </w:r>
      <w:r>
        <w:rPr>
          <w:rFonts w:ascii="仿宋_GB2312" w:hAnsi="仿宋_GB2312" w:eastAsia="仿宋_GB2312" w:cs="仿宋_GB2312"/>
          <w:color w:val="0F1115"/>
          <w:sz w:val="32"/>
          <w:szCs w:val="32"/>
          <w:shd w:val="clear" w:color="auto" w:fill="FFFFFF"/>
        </w:rPr>
        <w:t>B包（工程施工）投标人资格要求：</w:t>
      </w:r>
    </w:p>
    <w:p w14:paraId="3C59D3E8">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3.1</w:t>
      </w:r>
      <w:r>
        <w:rPr>
          <w:rFonts w:ascii="仿宋_GB2312" w:hAnsi="仿宋_GB2312" w:eastAsia="仿宋_GB2312" w:cs="仿宋_GB2312"/>
          <w:color w:val="0F1115"/>
          <w:sz w:val="32"/>
          <w:szCs w:val="32"/>
          <w:shd w:val="clear" w:color="auto" w:fill="FFFFFF"/>
        </w:rPr>
        <w:t>具有公路工程施工总承包贰级或市政公用工程施工总承包贰级及以上资质的施工企业，且在人员、设备、资金等方面具有承担本项目的能力和经验。</w:t>
      </w:r>
    </w:p>
    <w:p w14:paraId="6BE16BB1">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3.2</w:t>
      </w:r>
      <w:r>
        <w:rPr>
          <w:rFonts w:ascii="仿宋_GB2312" w:hAnsi="仿宋_GB2312" w:eastAsia="仿宋_GB2312" w:cs="仿宋_GB2312"/>
          <w:color w:val="0F1115"/>
          <w:sz w:val="32"/>
          <w:szCs w:val="32"/>
          <w:shd w:val="clear" w:color="auto" w:fill="FFFFFF"/>
        </w:rPr>
        <w:t>投标人自2023年1月至2025年12月（3年）完成过类似工程（道路维修施工）3个及以上的施工业绩（需要提供证明材料）。</w:t>
      </w:r>
    </w:p>
    <w:p w14:paraId="1B6C5F6C">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3.3</w:t>
      </w:r>
      <w:r>
        <w:rPr>
          <w:rFonts w:ascii="仿宋_GB2312" w:hAnsi="仿宋_GB2312" w:eastAsia="仿宋_GB2312" w:cs="仿宋_GB2312"/>
          <w:color w:val="0F1115"/>
          <w:sz w:val="32"/>
          <w:szCs w:val="32"/>
          <w:shd w:val="clear" w:color="auto" w:fill="FFFFFF"/>
        </w:rPr>
        <w:t>项目经理须持有注册贰级及以上建造师证（公路、市政专业，需本单位注册），具有有效的安全生产考核合格证书（B类）；近三年具有类似工程施工管理经验。</w:t>
      </w:r>
    </w:p>
    <w:p w14:paraId="59B8975C">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3.4</w:t>
      </w:r>
      <w:r>
        <w:rPr>
          <w:rFonts w:ascii="仿宋_GB2312" w:hAnsi="仿宋_GB2312" w:eastAsia="仿宋_GB2312" w:cs="仿宋_GB2312"/>
          <w:color w:val="0F1115"/>
          <w:sz w:val="32"/>
          <w:szCs w:val="32"/>
          <w:shd w:val="clear" w:color="auto" w:fill="FFFFFF"/>
        </w:rPr>
        <w:t>财务状况良好，需提供近3年度（2023年、2024年、2025年）财务状况表(复印件加盖公章)。</w:t>
      </w:r>
    </w:p>
    <w:p w14:paraId="70B644B8">
      <w:pPr>
        <w:pStyle w:val="16"/>
        <w:widowControl/>
        <w:spacing w:line="592" w:lineRule="exact"/>
        <w:ind w:firstLine="640" w:firstLineChars="200"/>
        <w:jc w:val="left"/>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3.5</w:t>
      </w:r>
      <w:r>
        <w:rPr>
          <w:rFonts w:ascii="仿宋_GB2312" w:hAnsi="仿宋_GB2312" w:eastAsia="仿宋_GB2312" w:cs="仿宋_GB2312"/>
          <w:color w:val="0F1115"/>
          <w:sz w:val="32"/>
          <w:szCs w:val="32"/>
          <w:shd w:val="clear" w:color="auto" w:fill="FFFFFF"/>
        </w:rPr>
        <w:t>投标人自2023年1月1日至2025年12月31日止（3年）投标人社会信誉自查承诺（盖公司公章），投标人在报名时需提供当日“信用中国”（</w:t>
      </w:r>
      <w:r>
        <w:fldChar w:fldCharType="begin"/>
      </w:r>
      <w:r>
        <w:instrText xml:space="preserve"> HYPERLINK "https://www.creditchina.gov.cn/" \t "https://chat.deepseek.com/a/chat/s/_blank" </w:instrText>
      </w:r>
      <w:r>
        <w:fldChar w:fldCharType="separate"/>
      </w:r>
      <w:r>
        <w:rPr>
          <w:rFonts w:ascii="仿宋_GB2312" w:hAnsi="仿宋_GB2312" w:eastAsia="仿宋_GB2312" w:cs="仿宋_GB2312"/>
          <w:color w:val="0F1115"/>
          <w:sz w:val="32"/>
          <w:szCs w:val="32"/>
          <w:shd w:val="clear" w:color="auto" w:fill="FFFFFF"/>
        </w:rPr>
        <w:t>www.creditchina.gov.cn</w:t>
      </w:r>
      <w:r>
        <w:rPr>
          <w:rFonts w:ascii="仿宋_GB2312" w:hAnsi="仿宋_GB2312" w:eastAsia="仿宋_GB2312" w:cs="仿宋_GB2312"/>
          <w:color w:val="0F1115"/>
          <w:sz w:val="32"/>
          <w:szCs w:val="32"/>
          <w:shd w:val="clear" w:color="auto" w:fill="FFFFFF"/>
        </w:rPr>
        <w:fldChar w:fldCharType="end"/>
      </w:r>
      <w:r>
        <w:rPr>
          <w:rFonts w:ascii="仿宋_GB2312" w:hAnsi="仿宋_GB2312" w:eastAsia="仿宋_GB2312" w:cs="仿宋_GB2312"/>
          <w:color w:val="0F1115"/>
          <w:sz w:val="32"/>
          <w:szCs w:val="32"/>
          <w:shd w:val="clear" w:color="auto" w:fill="FFFFFF"/>
        </w:rPr>
        <w:t>）查询本单位是否为失信被执行人的网页截图。</w:t>
      </w:r>
    </w:p>
    <w:p w14:paraId="14C36C73">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3.6</w:t>
      </w:r>
      <w:r>
        <w:rPr>
          <w:rFonts w:ascii="仿宋_GB2312" w:hAnsi="仿宋_GB2312" w:eastAsia="仿宋_GB2312" w:cs="仿宋_GB2312"/>
          <w:color w:val="0F1115"/>
          <w:sz w:val="32"/>
          <w:szCs w:val="32"/>
          <w:shd w:val="clear" w:color="auto" w:fill="FFFFFF"/>
        </w:rPr>
        <w:t>请各投标单位在公告结束时间前将对应标包要求的资质文件、同类业绩原件（以投标人签订合同或中标通知书等证明材料日期为准）1份上传到网上报名中的上传资料中。</w:t>
      </w:r>
    </w:p>
    <w:p w14:paraId="22F84128">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3.7</w:t>
      </w:r>
      <w:r>
        <w:rPr>
          <w:rFonts w:ascii="仿宋_GB2312" w:hAnsi="仿宋_GB2312" w:eastAsia="仿宋_GB2312" w:cs="仿宋_GB2312"/>
          <w:color w:val="0F1115"/>
          <w:sz w:val="32"/>
          <w:szCs w:val="32"/>
          <w:shd w:val="clear" w:color="auto" w:fill="FFFFFF"/>
        </w:rPr>
        <w:t>凡有意参加投标者，请于2026年1月29日上午9时前将以下资料原件扫描件(要求图片清晰可辨)制作为PDF文档，按所投包别分别制作并上传至系统：</w:t>
      </w:r>
      <w:r>
        <w:rPr>
          <w:rFonts w:ascii="仿宋_GB2312" w:hAnsi="仿宋_GB2312" w:eastAsia="仿宋_GB2312" w:cs="仿宋_GB2312"/>
          <w:color w:val="0F1115"/>
          <w:sz w:val="32"/>
          <w:szCs w:val="32"/>
          <w:shd w:val="clear" w:color="auto" w:fill="FFFFFF"/>
        </w:rPr>
        <w:br w:type="textWrapping"/>
      </w:r>
      <w:r>
        <w:rPr>
          <w:rFonts w:ascii="仿宋_GB2312" w:hAnsi="仿宋_GB2312" w:eastAsia="仿宋_GB2312" w:cs="仿宋_GB2312"/>
          <w:color w:val="0F1115"/>
          <w:sz w:val="32"/>
          <w:szCs w:val="32"/>
          <w:shd w:val="clear" w:color="auto" w:fill="FFFFFF"/>
        </w:rPr>
        <w:t>（A包投标人上传）：（1）企业法人营业执照副本；（2）沥青混合料生产/经营相关资质证书；（3）ISO9001质量管理体系认证证书；（4）近三年的财务状况表；（5）企业业绩合同和供货证明；（6）企业信誉自查承诺（加盖公章）；（7）信用查询记录截图；（8）企业基本账户开户许可证；（9）企业法人授权委托书及授权代表身份证。</w:t>
      </w:r>
      <w:r>
        <w:rPr>
          <w:rFonts w:ascii="仿宋_GB2312" w:hAnsi="仿宋_GB2312" w:eastAsia="仿宋_GB2312" w:cs="仿宋_GB2312"/>
          <w:color w:val="0F1115"/>
          <w:sz w:val="32"/>
          <w:szCs w:val="32"/>
          <w:shd w:val="clear" w:color="auto" w:fill="FFFFFF"/>
        </w:rPr>
        <w:br w:type="textWrapping"/>
      </w:r>
      <w:r>
        <w:rPr>
          <w:rFonts w:ascii="仿宋_GB2312" w:hAnsi="仿宋_GB2312" w:eastAsia="仿宋_GB2312" w:cs="仿宋_GB2312"/>
          <w:color w:val="0F1115"/>
          <w:sz w:val="32"/>
          <w:szCs w:val="32"/>
          <w:shd w:val="clear" w:color="auto" w:fill="FFFFFF"/>
        </w:rPr>
        <w:t>（B包投标人上传）：（1）企业法人营业执照副本；（2）资质证书副本；（3）安全生产许可证；（4）项目经理注册建造师证、安全生产考核合格证书（B类）；（5）近三年的财务状况表；（6）企业业绩合同和竣工验收证明；（7）企业信誉自查承诺（加盖公章）；（8）信用查询记录截图；（9）企业基本账户开户许可证；（10）企业法人授权委托书及授权代表身份证。</w:t>
      </w:r>
    </w:p>
    <w:p w14:paraId="08EFB6B2">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3.8</w:t>
      </w:r>
      <w:r>
        <w:rPr>
          <w:rFonts w:ascii="仿宋_GB2312" w:hAnsi="仿宋_GB2312" w:eastAsia="仿宋_GB2312" w:cs="仿宋_GB2312"/>
          <w:color w:val="0F1115"/>
          <w:sz w:val="32"/>
          <w:szCs w:val="32"/>
          <w:shd w:val="clear" w:color="auto" w:fill="FFFFFF"/>
        </w:rPr>
        <w:t>如有单位资料造假，一经发现，立即在网上公示，并永久取消投标资格。</w:t>
      </w:r>
    </w:p>
    <w:p w14:paraId="5E87D55F">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3.9</w:t>
      </w:r>
      <w:r>
        <w:rPr>
          <w:rFonts w:ascii="仿宋_GB2312" w:hAnsi="仿宋_GB2312" w:eastAsia="仿宋_GB2312" w:cs="仿宋_GB2312"/>
          <w:color w:val="0F1115"/>
          <w:sz w:val="32"/>
          <w:szCs w:val="32"/>
          <w:shd w:val="clear" w:color="auto" w:fill="FFFFFF"/>
        </w:rPr>
        <w:t>不接受联合体投标</w:t>
      </w:r>
      <w:r>
        <w:rPr>
          <w:rFonts w:hint="eastAsia" w:ascii="仿宋_GB2312" w:hAnsi="仿宋_GB2312" w:eastAsia="仿宋_GB2312" w:cs="仿宋_GB2312"/>
          <w:color w:val="0F1115"/>
          <w:sz w:val="32"/>
          <w:szCs w:val="32"/>
          <w:shd w:val="clear" w:color="auto" w:fill="FFFFFF"/>
        </w:rPr>
        <w:t>：</w:t>
      </w:r>
      <w:r>
        <w:rPr>
          <w:rFonts w:ascii="仿宋_GB2312" w:hAnsi="仿宋_GB2312" w:eastAsia="仿宋_GB2312" w:cs="仿宋_GB2312"/>
          <w:color w:val="0F1115"/>
          <w:sz w:val="32"/>
          <w:szCs w:val="32"/>
          <w:shd w:val="clear" w:color="auto" w:fill="FFFFFF"/>
        </w:rPr>
        <w:t>同一投标人可同时参与A、B两包的投标，但须按包分别编制、封装、递交投标文件。</w:t>
      </w:r>
    </w:p>
    <w:p w14:paraId="6D4470B4">
      <w:pPr>
        <w:pStyle w:val="16"/>
        <w:widowControl/>
        <w:numPr>
          <w:ilvl w:val="0"/>
          <w:numId w:val="2"/>
        </w:numPr>
        <w:spacing w:line="592" w:lineRule="exact"/>
        <w:rPr>
          <w:rFonts w:ascii="仿宋_GB2312" w:hAnsi="仿宋_GB2312" w:eastAsia="仿宋_GB2312" w:cs="仿宋_GB2312"/>
          <w:b/>
          <w:bCs/>
          <w:color w:val="0F1115"/>
          <w:sz w:val="32"/>
          <w:szCs w:val="32"/>
          <w:shd w:val="clear" w:color="auto" w:fill="FFFFFF"/>
        </w:rPr>
      </w:pPr>
      <w:r>
        <w:rPr>
          <w:rFonts w:ascii="仿宋_GB2312" w:hAnsi="仿宋_GB2312" w:eastAsia="仿宋_GB2312" w:cs="仿宋_GB2312"/>
          <w:b/>
          <w:bCs/>
          <w:color w:val="0F1115"/>
          <w:sz w:val="32"/>
          <w:szCs w:val="32"/>
          <w:shd w:val="clear" w:color="auto" w:fill="FFFFFF"/>
        </w:rPr>
        <w:t>公告和报名</w:t>
      </w:r>
    </w:p>
    <w:p w14:paraId="0779D53B">
      <w:pPr>
        <w:pStyle w:val="16"/>
        <w:widowControl/>
        <w:spacing w:line="592" w:lineRule="exact"/>
        <w:ind w:firstLine="640" w:firstLineChars="200"/>
        <w:rPr>
          <w:rFonts w:ascii="仿宋_GB2312" w:hAnsi="仿宋_GB2312" w:eastAsia="仿宋_GB2312" w:cs="仿宋_GB2312"/>
          <w:color w:val="0F1115"/>
          <w:sz w:val="32"/>
          <w:szCs w:val="32"/>
          <w:highlight w:val="none"/>
          <w:shd w:val="clear" w:color="auto" w:fill="FFFFFF"/>
        </w:rPr>
      </w:pPr>
      <w:r>
        <w:rPr>
          <w:rFonts w:hint="eastAsia" w:ascii="仿宋_GB2312" w:hAnsi="仿宋_GB2312" w:eastAsia="仿宋_GB2312" w:cs="仿宋_GB2312"/>
          <w:color w:val="0F1115"/>
          <w:sz w:val="32"/>
          <w:szCs w:val="32"/>
          <w:shd w:val="clear" w:color="auto" w:fill="FFFFFF"/>
        </w:rPr>
        <w:t>1.</w:t>
      </w:r>
      <w:r>
        <w:rPr>
          <w:rFonts w:ascii="仿宋_GB2312" w:hAnsi="仿宋_GB2312" w:eastAsia="仿宋_GB2312" w:cs="仿宋_GB2312"/>
          <w:color w:val="0F1115"/>
          <w:sz w:val="32"/>
          <w:szCs w:val="32"/>
          <w:shd w:val="clear" w:color="auto" w:fill="FFFFFF"/>
        </w:rPr>
        <w:t>报名方式：通过登录济钢集团有限公司阳光购销平台网上报名(不接受线下报名)，平台网址：</w:t>
      </w:r>
      <w:r>
        <w:fldChar w:fldCharType="begin"/>
      </w:r>
      <w:r>
        <w:instrText xml:space="preserve"> HYPERLINK "http://bidding.jigang.com.cn/" \t "https://chat.deepseek.com/a/chat/s/_blank" </w:instrText>
      </w:r>
      <w:r>
        <w:fldChar w:fldCharType="separate"/>
      </w:r>
      <w:r>
        <w:rPr>
          <w:rFonts w:ascii="仿宋_GB2312" w:hAnsi="仿宋_GB2312" w:eastAsia="仿宋_GB2312" w:cs="仿宋_GB2312"/>
          <w:color w:val="0F1115"/>
          <w:sz w:val="32"/>
          <w:szCs w:val="32"/>
          <w:shd w:val="clear" w:color="auto" w:fill="FFFFFF"/>
        </w:rPr>
        <w:t>http://bidding.jigang.com.cn/</w:t>
      </w:r>
      <w:r>
        <w:rPr>
          <w:rFonts w:ascii="仿宋_GB2312" w:hAnsi="仿宋_GB2312" w:eastAsia="仿宋_GB2312" w:cs="仿宋_GB2312"/>
          <w:color w:val="0F1115"/>
          <w:sz w:val="32"/>
          <w:szCs w:val="32"/>
          <w:shd w:val="clear" w:color="auto" w:fill="FFFFFF"/>
        </w:rPr>
        <w:fldChar w:fldCharType="end"/>
      </w:r>
      <w:r>
        <w:rPr>
          <w:rFonts w:ascii="仿宋_GB2312" w:hAnsi="仿宋_GB2312" w:eastAsia="仿宋_GB2312" w:cs="仿宋_GB2312"/>
          <w:color w:val="0F1115"/>
          <w:sz w:val="32"/>
          <w:szCs w:val="32"/>
          <w:shd w:val="clear" w:color="auto" w:fill="FFFFFF"/>
        </w:rPr>
        <w:t>；</w:t>
      </w:r>
    </w:p>
    <w:p w14:paraId="26FF2DEF">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highlight w:val="none"/>
          <w:shd w:val="clear" w:color="auto" w:fill="FFFFFF"/>
        </w:rPr>
        <w:t>2.</w:t>
      </w:r>
      <w:r>
        <w:rPr>
          <w:rFonts w:ascii="仿宋_GB2312" w:hAnsi="仿宋_GB2312" w:eastAsia="仿宋_GB2312" w:cs="仿宋_GB2312"/>
          <w:color w:val="0F1115"/>
          <w:sz w:val="32"/>
          <w:szCs w:val="32"/>
          <w:highlight w:val="none"/>
          <w:shd w:val="clear" w:color="auto" w:fill="FFFFFF"/>
        </w:rPr>
        <w:t>公告和报名时间：</w:t>
      </w:r>
      <w:r>
        <w:rPr>
          <w:rFonts w:hint="eastAsia" w:ascii="仿宋_GB2312" w:hAnsi="仿宋_GB2312" w:eastAsia="仿宋_GB2312" w:cs="仿宋_GB2312"/>
          <w:color w:val="0F1115"/>
          <w:sz w:val="32"/>
          <w:szCs w:val="32"/>
          <w:highlight w:val="none"/>
          <w:shd w:val="clear" w:color="auto" w:fill="FFFFFF"/>
          <w:lang w:val="en-US" w:eastAsia="zh-CN"/>
        </w:rPr>
        <w:t>2026</w:t>
      </w:r>
      <w:r>
        <w:rPr>
          <w:rFonts w:ascii="仿宋_GB2312" w:hAnsi="仿宋_GB2312" w:eastAsia="仿宋_GB2312" w:cs="仿宋_GB2312"/>
          <w:color w:val="0F1115"/>
          <w:sz w:val="32"/>
          <w:szCs w:val="32"/>
          <w:highlight w:val="none"/>
          <w:shd w:val="clear" w:color="auto" w:fill="FFFFFF"/>
        </w:rPr>
        <w:t>年</w:t>
      </w:r>
      <w:r>
        <w:rPr>
          <w:rFonts w:hint="eastAsia" w:ascii="仿宋_GB2312" w:hAnsi="仿宋_GB2312" w:eastAsia="仿宋_GB2312" w:cs="仿宋_GB2312"/>
          <w:color w:val="0F1115"/>
          <w:sz w:val="32"/>
          <w:szCs w:val="32"/>
          <w:highlight w:val="none"/>
          <w:shd w:val="clear" w:color="auto" w:fill="FFFFFF"/>
          <w:lang w:val="en-US" w:eastAsia="zh-CN"/>
        </w:rPr>
        <w:t>1</w:t>
      </w:r>
      <w:r>
        <w:rPr>
          <w:rFonts w:ascii="仿宋_GB2312" w:hAnsi="仿宋_GB2312" w:eastAsia="仿宋_GB2312" w:cs="仿宋_GB2312"/>
          <w:color w:val="0F1115"/>
          <w:sz w:val="32"/>
          <w:szCs w:val="32"/>
          <w:highlight w:val="none"/>
          <w:shd w:val="clear" w:color="auto" w:fill="FFFFFF"/>
        </w:rPr>
        <w:t>月</w:t>
      </w:r>
      <w:r>
        <w:rPr>
          <w:rFonts w:hint="eastAsia" w:ascii="仿宋_GB2312" w:hAnsi="仿宋_GB2312" w:eastAsia="仿宋_GB2312" w:cs="仿宋_GB2312"/>
          <w:color w:val="0F1115"/>
          <w:sz w:val="32"/>
          <w:szCs w:val="32"/>
          <w:highlight w:val="none"/>
          <w:shd w:val="clear" w:color="auto" w:fill="FFFFFF"/>
          <w:lang w:val="en-US" w:eastAsia="zh-CN"/>
        </w:rPr>
        <w:t>30</w:t>
      </w:r>
      <w:r>
        <w:rPr>
          <w:rFonts w:ascii="仿宋_GB2312" w:hAnsi="仿宋_GB2312" w:eastAsia="仿宋_GB2312" w:cs="仿宋_GB2312"/>
          <w:color w:val="0F1115"/>
          <w:sz w:val="32"/>
          <w:szCs w:val="32"/>
          <w:highlight w:val="none"/>
          <w:shd w:val="clear" w:color="auto" w:fill="FFFFFF"/>
        </w:rPr>
        <w:t>日～</w:t>
      </w:r>
      <w:r>
        <w:rPr>
          <w:rFonts w:hint="eastAsia" w:ascii="仿宋_GB2312" w:hAnsi="仿宋_GB2312" w:eastAsia="仿宋_GB2312" w:cs="仿宋_GB2312"/>
          <w:color w:val="0F1115"/>
          <w:sz w:val="32"/>
          <w:szCs w:val="32"/>
          <w:highlight w:val="none"/>
          <w:shd w:val="clear" w:color="auto" w:fill="FFFFFF"/>
          <w:lang w:val="en-US" w:eastAsia="zh-CN"/>
        </w:rPr>
        <w:t>2026</w:t>
      </w:r>
      <w:r>
        <w:rPr>
          <w:rFonts w:ascii="仿宋_GB2312" w:hAnsi="仿宋_GB2312" w:eastAsia="仿宋_GB2312" w:cs="仿宋_GB2312"/>
          <w:color w:val="0F1115"/>
          <w:sz w:val="32"/>
          <w:szCs w:val="32"/>
          <w:highlight w:val="none"/>
          <w:shd w:val="clear" w:color="auto" w:fill="FFFFFF"/>
        </w:rPr>
        <w:t>年</w:t>
      </w:r>
      <w:r>
        <w:rPr>
          <w:rFonts w:hint="eastAsia" w:ascii="仿宋_GB2312" w:hAnsi="仿宋_GB2312" w:eastAsia="仿宋_GB2312" w:cs="仿宋_GB2312"/>
          <w:color w:val="0F1115"/>
          <w:sz w:val="32"/>
          <w:szCs w:val="32"/>
          <w:highlight w:val="none"/>
          <w:shd w:val="clear" w:color="auto" w:fill="FFFFFF"/>
          <w:lang w:val="en-US" w:eastAsia="zh-CN"/>
        </w:rPr>
        <w:t>2</w:t>
      </w:r>
      <w:r>
        <w:rPr>
          <w:rFonts w:ascii="仿宋_GB2312" w:hAnsi="仿宋_GB2312" w:eastAsia="仿宋_GB2312" w:cs="仿宋_GB2312"/>
          <w:color w:val="0F1115"/>
          <w:sz w:val="32"/>
          <w:szCs w:val="32"/>
          <w:highlight w:val="none"/>
          <w:shd w:val="clear" w:color="auto" w:fill="FFFFFF"/>
        </w:rPr>
        <w:t>月</w:t>
      </w:r>
      <w:r>
        <w:rPr>
          <w:rFonts w:hint="eastAsia" w:ascii="仿宋_GB2312" w:hAnsi="仿宋_GB2312" w:eastAsia="仿宋_GB2312" w:cs="仿宋_GB2312"/>
          <w:color w:val="0F1115"/>
          <w:sz w:val="32"/>
          <w:szCs w:val="32"/>
          <w:highlight w:val="none"/>
          <w:shd w:val="clear" w:color="auto" w:fill="FFFFFF"/>
          <w:lang w:val="en-US" w:eastAsia="zh-CN"/>
        </w:rPr>
        <w:t>2</w:t>
      </w:r>
      <w:r>
        <w:rPr>
          <w:rFonts w:ascii="仿宋_GB2312" w:hAnsi="仿宋_GB2312" w:eastAsia="仿宋_GB2312" w:cs="仿宋_GB2312"/>
          <w:color w:val="0F1115"/>
          <w:sz w:val="32"/>
          <w:szCs w:val="32"/>
          <w:highlight w:val="none"/>
          <w:shd w:val="clear" w:color="auto" w:fill="FFFFFF"/>
        </w:rPr>
        <w:t>日</w:t>
      </w:r>
      <w:r>
        <w:rPr>
          <w:rFonts w:ascii="仿宋_GB2312" w:hAnsi="仿宋_GB2312" w:eastAsia="仿宋_GB2312" w:cs="仿宋_GB2312"/>
          <w:color w:val="0F1115"/>
          <w:sz w:val="32"/>
          <w:szCs w:val="32"/>
          <w:shd w:val="clear" w:color="auto" w:fill="FFFFFF"/>
        </w:rPr>
        <w:t>（北京时间）。</w:t>
      </w:r>
    </w:p>
    <w:p w14:paraId="67829799">
      <w:pPr>
        <w:pStyle w:val="16"/>
        <w:widowControl/>
        <w:spacing w:line="592" w:lineRule="exact"/>
        <w:ind w:left="638" w:leftChars="304"/>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五、资格审查方式：资格后审</w:t>
      </w:r>
    </w:p>
    <w:p w14:paraId="0C31AAE9">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开标后，评标委员会对投标单位的资质文件进行评审</w:t>
      </w:r>
      <w:r>
        <w:rPr>
          <w:rFonts w:hint="eastAsia" w:ascii="仿宋_GB2312" w:hAnsi="仿宋_GB2312" w:eastAsia="仿宋_GB2312" w:cs="仿宋_GB2312"/>
          <w:color w:val="0F1115"/>
          <w:sz w:val="32"/>
          <w:szCs w:val="32"/>
          <w:shd w:val="clear" w:color="auto" w:fill="FFFFFF"/>
        </w:rPr>
        <w:t>，</w:t>
      </w:r>
      <w:r>
        <w:rPr>
          <w:rFonts w:ascii="仿宋_GB2312" w:hAnsi="仿宋_GB2312" w:eastAsia="仿宋_GB2312" w:cs="仿宋_GB2312"/>
          <w:color w:val="0F1115"/>
          <w:sz w:val="32"/>
          <w:szCs w:val="32"/>
          <w:shd w:val="clear" w:color="auto" w:fill="FFFFFF"/>
        </w:rPr>
        <w:t>评审合格的进入下一阶段评审；评审不合格的按废标处理，投标文件将被退回。</w:t>
      </w:r>
    </w:p>
    <w:p w14:paraId="1BFF381E">
      <w:pPr>
        <w:pStyle w:val="16"/>
        <w:widowControl/>
        <w:spacing w:line="592" w:lineRule="exact"/>
        <w:rPr>
          <w:rFonts w:ascii="仿宋_GB2312" w:hAnsi="仿宋_GB2312" w:eastAsia="仿宋_GB2312" w:cs="仿宋_GB2312"/>
          <w:b/>
          <w:bCs/>
          <w:color w:val="0F1115"/>
          <w:sz w:val="32"/>
          <w:szCs w:val="32"/>
          <w:shd w:val="clear" w:color="auto" w:fill="FFFFFF"/>
        </w:rPr>
      </w:pPr>
      <w:r>
        <w:rPr>
          <w:rFonts w:hint="eastAsia" w:ascii="仿宋_GB2312" w:hAnsi="仿宋_GB2312" w:eastAsia="仿宋_GB2312" w:cs="仿宋_GB2312"/>
          <w:b/>
          <w:bCs/>
          <w:color w:val="0F1115"/>
          <w:sz w:val="32"/>
          <w:szCs w:val="32"/>
          <w:shd w:val="clear" w:color="auto" w:fill="FFFFFF"/>
          <w:lang w:val="en-US" w:eastAsia="zh-CN"/>
        </w:rPr>
        <w:t>七</w:t>
      </w:r>
      <w:r>
        <w:rPr>
          <w:rFonts w:hint="eastAsia" w:ascii="仿宋_GB2312" w:hAnsi="仿宋_GB2312" w:eastAsia="仿宋_GB2312" w:cs="仿宋_GB2312"/>
          <w:b/>
          <w:bCs/>
          <w:color w:val="0F1115"/>
          <w:sz w:val="32"/>
          <w:szCs w:val="32"/>
          <w:shd w:val="clear" w:color="auto" w:fill="FFFFFF"/>
        </w:rPr>
        <w:t>.</w:t>
      </w:r>
      <w:r>
        <w:rPr>
          <w:rFonts w:ascii="仿宋_GB2312" w:hAnsi="仿宋_GB2312" w:eastAsia="仿宋_GB2312" w:cs="仿宋_GB2312"/>
          <w:b/>
          <w:bCs/>
          <w:color w:val="0F1115"/>
          <w:sz w:val="32"/>
          <w:szCs w:val="32"/>
          <w:shd w:val="clear" w:color="auto" w:fill="FFFFFF"/>
        </w:rPr>
        <w:t>合同履约保证金</w:t>
      </w:r>
      <w:r>
        <w:rPr>
          <w:rFonts w:hint="eastAsia" w:ascii="仿宋_GB2312" w:hAnsi="仿宋_GB2312" w:eastAsia="仿宋_GB2312" w:cs="仿宋_GB2312"/>
          <w:b/>
          <w:bCs/>
          <w:color w:val="0F1115"/>
          <w:sz w:val="32"/>
          <w:szCs w:val="32"/>
          <w:shd w:val="clear" w:color="auto" w:fill="FFFFFF"/>
          <w:lang w:val="en-US" w:eastAsia="zh-CN"/>
        </w:rPr>
        <w:t>和安全风险抵押金</w:t>
      </w:r>
      <w:r>
        <w:rPr>
          <w:rFonts w:ascii="仿宋_GB2312" w:hAnsi="仿宋_GB2312" w:eastAsia="仿宋_GB2312" w:cs="仿宋_GB2312"/>
          <w:b/>
          <w:bCs/>
          <w:color w:val="0F1115"/>
          <w:sz w:val="32"/>
          <w:szCs w:val="32"/>
          <w:shd w:val="clear" w:color="auto" w:fill="FFFFFF"/>
        </w:rPr>
        <w:t>（人民币）</w:t>
      </w:r>
    </w:p>
    <w:p w14:paraId="475545CF">
      <w:pPr>
        <w:pStyle w:val="16"/>
        <w:widowControl/>
        <w:spacing w:line="592" w:lineRule="exact"/>
        <w:ind w:firstLine="640" w:firstLineChars="200"/>
        <w:rPr>
          <w:rFonts w:hint="eastAsia" w:ascii="仿宋_GB2312" w:hAnsi="仿宋_GB2312" w:eastAsia="仿宋_GB2312" w:cs="仿宋_GB2312"/>
          <w:color w:val="0F1115"/>
          <w:sz w:val="32"/>
          <w:szCs w:val="32"/>
          <w:shd w:val="clear" w:color="auto" w:fill="FFFFFF"/>
          <w:lang w:val="en-US" w:eastAsia="zh-CN"/>
        </w:rPr>
      </w:pPr>
      <w:r>
        <w:rPr>
          <w:rFonts w:hint="eastAsia" w:ascii="仿宋_GB2312" w:hAnsi="仿宋_GB2312" w:eastAsia="仿宋_GB2312" w:cs="仿宋_GB2312"/>
          <w:color w:val="0F1115"/>
          <w:sz w:val="32"/>
          <w:szCs w:val="32"/>
          <w:shd w:val="clear" w:color="auto" w:fill="FFFFFF"/>
          <w:lang w:val="en-US" w:eastAsia="zh-CN"/>
        </w:rPr>
        <w:t>7.1合同履约保证金</w:t>
      </w:r>
    </w:p>
    <w:p w14:paraId="76A533F0">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A包（材料供应）：伍万元整（￥50000元）。</w:t>
      </w:r>
    </w:p>
    <w:p w14:paraId="55A46A8B">
      <w:pPr>
        <w:pStyle w:val="16"/>
        <w:widowControl/>
        <w:spacing w:line="592" w:lineRule="exact"/>
        <w:ind w:left="319" w:leftChars="152" w:firstLine="320" w:firstLineChars="1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B包（工程施工）：贰万元整（¥20000元）。</w:t>
      </w:r>
    </w:p>
    <w:p w14:paraId="02E5E8D2">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lang w:val="en-US" w:eastAsia="zh-CN"/>
        </w:rPr>
        <w:t>7.2</w:t>
      </w:r>
      <w:r>
        <w:rPr>
          <w:rFonts w:ascii="仿宋_GB2312" w:hAnsi="仿宋_GB2312" w:eastAsia="仿宋_GB2312" w:cs="仿宋_GB2312"/>
          <w:color w:val="0F1115"/>
          <w:sz w:val="32"/>
          <w:szCs w:val="32"/>
          <w:shd w:val="clear" w:color="auto" w:fill="FFFFFF"/>
        </w:rPr>
        <w:t>招标人通知中标人签订合同前3日内将对应标包的合同履约保证金</w:t>
      </w:r>
      <w:r>
        <w:rPr>
          <w:rFonts w:hint="eastAsia" w:ascii="仿宋_GB2312" w:hAnsi="仿宋_GB2312" w:eastAsia="仿宋_GB2312" w:cs="仿宋_GB2312"/>
          <w:color w:val="0F1115"/>
          <w:sz w:val="32"/>
          <w:szCs w:val="32"/>
          <w:shd w:val="clear" w:color="auto" w:fill="FFFFFF"/>
          <w:lang w:val="en-US" w:eastAsia="zh-CN"/>
        </w:rPr>
        <w:t>和B包安全风险抵押金（10000元）</w:t>
      </w:r>
      <w:r>
        <w:rPr>
          <w:rFonts w:ascii="仿宋_GB2312" w:hAnsi="仿宋_GB2312" w:eastAsia="仿宋_GB2312" w:cs="仿宋_GB2312"/>
          <w:color w:val="0F1115"/>
          <w:sz w:val="32"/>
          <w:szCs w:val="32"/>
          <w:shd w:val="clear" w:color="auto" w:fill="FFFFFF"/>
        </w:rPr>
        <w:t>电汇到招标人账户，逾期交纳的视为放弃中标。</w:t>
      </w:r>
      <w:r>
        <w:rPr>
          <w:rFonts w:ascii="仿宋_GB2312" w:hAnsi="仿宋_GB2312" w:eastAsia="仿宋_GB2312" w:cs="仿宋_GB2312"/>
          <w:color w:val="0F1115"/>
          <w:sz w:val="32"/>
          <w:szCs w:val="32"/>
          <w:shd w:val="clear" w:color="auto" w:fill="FFFFFF"/>
        </w:rPr>
        <w:br w:type="textWrapping"/>
      </w:r>
      <w:r>
        <w:rPr>
          <w:rFonts w:ascii="仿宋_GB2312" w:hAnsi="仿宋_GB2312" w:eastAsia="仿宋_GB2312" w:cs="仿宋_GB2312"/>
          <w:color w:val="0F1115"/>
          <w:sz w:val="32"/>
          <w:szCs w:val="32"/>
          <w:shd w:val="clear" w:color="auto" w:fill="FFFFFF"/>
        </w:rPr>
        <w:t>收款账户：济南黄河爆破工程有限责任公司</w:t>
      </w:r>
      <w:r>
        <w:rPr>
          <w:rFonts w:ascii="仿宋_GB2312" w:hAnsi="仿宋_GB2312" w:eastAsia="仿宋_GB2312" w:cs="仿宋_GB2312"/>
          <w:color w:val="0F1115"/>
          <w:sz w:val="32"/>
          <w:szCs w:val="32"/>
          <w:shd w:val="clear" w:color="auto" w:fill="FFFFFF"/>
        </w:rPr>
        <w:br w:type="textWrapping"/>
      </w:r>
      <w:r>
        <w:rPr>
          <w:rFonts w:ascii="仿宋_GB2312" w:hAnsi="仿宋_GB2312" w:eastAsia="仿宋_GB2312" w:cs="仿宋_GB2312"/>
          <w:color w:val="0F1115"/>
          <w:sz w:val="32"/>
          <w:szCs w:val="32"/>
          <w:shd w:val="clear" w:color="auto" w:fill="FFFFFF"/>
        </w:rPr>
        <w:t>开户行：中国工商银行济南东郊支行</w:t>
      </w:r>
      <w:r>
        <w:rPr>
          <w:rFonts w:ascii="仿宋_GB2312" w:hAnsi="仿宋_GB2312" w:eastAsia="仿宋_GB2312" w:cs="仿宋_GB2312"/>
          <w:color w:val="0F1115"/>
          <w:sz w:val="32"/>
          <w:szCs w:val="32"/>
          <w:shd w:val="clear" w:color="auto" w:fill="FFFFFF"/>
        </w:rPr>
        <w:br w:type="textWrapping"/>
      </w:r>
      <w:r>
        <w:rPr>
          <w:rFonts w:ascii="仿宋_GB2312" w:hAnsi="仿宋_GB2312" w:eastAsia="仿宋_GB2312" w:cs="仿宋_GB2312"/>
          <w:color w:val="0F1115"/>
          <w:sz w:val="32"/>
          <w:szCs w:val="32"/>
          <w:shd w:val="clear" w:color="auto" w:fill="FFFFFF"/>
        </w:rPr>
        <w:t>银行账户：1602003419201075070</w:t>
      </w:r>
      <w:r>
        <w:rPr>
          <w:rFonts w:ascii="仿宋_GB2312" w:hAnsi="仿宋_GB2312" w:eastAsia="仿宋_GB2312" w:cs="仿宋_GB2312"/>
          <w:color w:val="0F1115"/>
          <w:sz w:val="32"/>
          <w:szCs w:val="32"/>
          <w:shd w:val="clear" w:color="auto" w:fill="FFFFFF"/>
        </w:rPr>
        <w:br w:type="textWrapping"/>
      </w:r>
      <w:r>
        <w:rPr>
          <w:rFonts w:ascii="仿宋_GB2312" w:hAnsi="仿宋_GB2312" w:eastAsia="仿宋_GB2312" w:cs="仿宋_GB2312"/>
          <w:color w:val="0F1115"/>
          <w:sz w:val="32"/>
          <w:szCs w:val="32"/>
          <w:shd w:val="clear" w:color="auto" w:fill="FFFFFF"/>
        </w:rPr>
        <w:t>行号：102451000344</w:t>
      </w:r>
    </w:p>
    <w:p w14:paraId="1B0DB56B">
      <w:pPr>
        <w:pStyle w:val="16"/>
        <w:widowControl/>
        <w:spacing w:line="592" w:lineRule="exact"/>
        <w:rPr>
          <w:rFonts w:ascii="仿宋_GB2312" w:hAnsi="仿宋_GB2312" w:eastAsia="仿宋_GB2312" w:cs="仿宋_GB2312"/>
          <w:b/>
          <w:bCs/>
          <w:color w:val="0F1115"/>
          <w:sz w:val="32"/>
          <w:szCs w:val="32"/>
          <w:shd w:val="clear" w:color="auto" w:fill="FFFFFF"/>
        </w:rPr>
      </w:pPr>
      <w:r>
        <w:rPr>
          <w:rFonts w:hint="eastAsia" w:ascii="仿宋_GB2312" w:hAnsi="仿宋_GB2312" w:eastAsia="仿宋_GB2312" w:cs="仿宋_GB2312"/>
          <w:b/>
          <w:bCs/>
          <w:color w:val="0F1115"/>
          <w:sz w:val="32"/>
          <w:szCs w:val="32"/>
          <w:shd w:val="clear" w:color="auto" w:fill="FFFFFF"/>
          <w:lang w:val="en-US" w:eastAsia="zh-CN"/>
        </w:rPr>
        <w:t>八</w:t>
      </w:r>
      <w:r>
        <w:rPr>
          <w:rFonts w:hint="eastAsia" w:ascii="仿宋_GB2312" w:hAnsi="仿宋_GB2312" w:eastAsia="仿宋_GB2312" w:cs="仿宋_GB2312"/>
          <w:b/>
          <w:bCs/>
          <w:color w:val="0F1115"/>
          <w:sz w:val="32"/>
          <w:szCs w:val="32"/>
          <w:shd w:val="clear" w:color="auto" w:fill="FFFFFF"/>
        </w:rPr>
        <w:t>.</w:t>
      </w:r>
      <w:r>
        <w:rPr>
          <w:rFonts w:ascii="仿宋_GB2312" w:hAnsi="仿宋_GB2312" w:eastAsia="仿宋_GB2312" w:cs="仿宋_GB2312"/>
          <w:b/>
          <w:bCs/>
          <w:color w:val="0F1115"/>
          <w:sz w:val="32"/>
          <w:szCs w:val="32"/>
          <w:shd w:val="clear" w:color="auto" w:fill="FFFFFF"/>
        </w:rPr>
        <w:t>招标文件获取</w:t>
      </w:r>
    </w:p>
    <w:p w14:paraId="0F9162A6">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获取方式：凡有意参加本次招标的投标人，在公告期内登陆：济钢集团有限公司阳光购销平台</w:t>
      </w:r>
      <w:r>
        <w:fldChar w:fldCharType="begin"/>
      </w:r>
      <w:r>
        <w:instrText xml:space="preserve"> HYPERLINK "http://bidding.jigang.com.cn/" \t "https://chat.deepseek.com/a/chat/s/_blank" </w:instrText>
      </w:r>
      <w:r>
        <w:fldChar w:fldCharType="separate"/>
      </w:r>
      <w:r>
        <w:rPr>
          <w:rFonts w:ascii="仿宋_GB2312" w:hAnsi="仿宋_GB2312" w:eastAsia="仿宋_GB2312" w:cs="仿宋_GB2312"/>
          <w:color w:val="0F1115"/>
          <w:sz w:val="32"/>
          <w:szCs w:val="32"/>
          <w:shd w:val="clear" w:color="auto" w:fill="FFFFFF"/>
        </w:rPr>
        <w:t>http://bidding.jigang.com.cn/</w:t>
      </w:r>
      <w:r>
        <w:rPr>
          <w:rFonts w:ascii="仿宋_GB2312" w:hAnsi="仿宋_GB2312" w:eastAsia="仿宋_GB2312" w:cs="仿宋_GB2312"/>
          <w:color w:val="0F1115"/>
          <w:sz w:val="32"/>
          <w:szCs w:val="32"/>
          <w:shd w:val="clear" w:color="auto" w:fill="FFFFFF"/>
        </w:rPr>
        <w:fldChar w:fldCharType="end"/>
      </w:r>
      <w:r>
        <w:rPr>
          <w:rFonts w:ascii="仿宋_GB2312" w:hAnsi="仿宋_GB2312" w:eastAsia="仿宋_GB2312" w:cs="仿宋_GB2312"/>
          <w:color w:val="0F1115"/>
          <w:sz w:val="32"/>
          <w:szCs w:val="32"/>
          <w:shd w:val="clear" w:color="auto" w:fill="FFFFFF"/>
        </w:rPr>
        <w:t>，注册用户成功后，须修改初始密码，重新登录后报名，报名成功后即可下载招标文件（内含A、B包全部内容）；</w:t>
      </w:r>
    </w:p>
    <w:p w14:paraId="668278BF">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招标文件售价：0元</w:t>
      </w:r>
    </w:p>
    <w:p w14:paraId="074477BF">
      <w:pPr>
        <w:pStyle w:val="16"/>
        <w:widowControl/>
        <w:spacing w:line="592" w:lineRule="exact"/>
        <w:rPr>
          <w:rFonts w:ascii="仿宋_GB2312" w:hAnsi="仿宋_GB2312" w:eastAsia="仿宋_GB2312" w:cs="仿宋_GB2312"/>
          <w:b/>
          <w:bCs/>
          <w:color w:val="0F1115"/>
          <w:sz w:val="32"/>
          <w:szCs w:val="32"/>
          <w:shd w:val="clear" w:color="auto" w:fill="FFFFFF"/>
        </w:rPr>
      </w:pPr>
      <w:r>
        <w:rPr>
          <w:rFonts w:hint="eastAsia" w:ascii="仿宋_GB2312" w:hAnsi="仿宋_GB2312" w:eastAsia="仿宋_GB2312" w:cs="仿宋_GB2312"/>
          <w:b/>
          <w:bCs/>
          <w:color w:val="0F1115"/>
          <w:sz w:val="32"/>
          <w:szCs w:val="32"/>
          <w:shd w:val="clear" w:color="auto" w:fill="FFFFFF"/>
          <w:lang w:val="en-US" w:eastAsia="zh-CN"/>
        </w:rPr>
        <w:t>九</w:t>
      </w:r>
      <w:r>
        <w:rPr>
          <w:rFonts w:hint="eastAsia" w:ascii="仿宋_GB2312" w:hAnsi="仿宋_GB2312" w:eastAsia="仿宋_GB2312" w:cs="仿宋_GB2312"/>
          <w:b/>
          <w:bCs/>
          <w:color w:val="0F1115"/>
          <w:sz w:val="32"/>
          <w:szCs w:val="32"/>
          <w:shd w:val="clear" w:color="auto" w:fill="FFFFFF"/>
        </w:rPr>
        <w:t>.</w:t>
      </w:r>
      <w:r>
        <w:rPr>
          <w:rFonts w:ascii="仿宋_GB2312" w:hAnsi="仿宋_GB2312" w:eastAsia="仿宋_GB2312" w:cs="仿宋_GB2312"/>
          <w:b/>
          <w:bCs/>
          <w:color w:val="0F1115"/>
          <w:sz w:val="32"/>
          <w:szCs w:val="32"/>
          <w:shd w:val="clear" w:color="auto" w:fill="FFFFFF"/>
        </w:rPr>
        <w:t>开标</w:t>
      </w:r>
    </w:p>
    <w:p w14:paraId="18DD5B2E">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开标时间：</w:t>
      </w:r>
      <w:r>
        <w:rPr>
          <w:rFonts w:hint="eastAsia" w:ascii="仿宋_GB2312" w:hAnsi="仿宋_GB2312" w:eastAsia="仿宋_GB2312" w:cs="仿宋_GB2312"/>
          <w:color w:val="0F1115"/>
          <w:sz w:val="32"/>
          <w:szCs w:val="32"/>
          <w:shd w:val="clear" w:color="auto" w:fill="FFFFFF"/>
          <w:lang w:val="en-US" w:eastAsia="zh-CN"/>
        </w:rPr>
        <w:t>202</w:t>
      </w:r>
      <w:r>
        <w:rPr>
          <w:rFonts w:hint="eastAsia" w:ascii="仿宋_GB2312" w:hAnsi="仿宋_GB2312" w:eastAsia="仿宋_GB2312" w:cs="仿宋_GB2312"/>
          <w:color w:val="0F1115"/>
          <w:sz w:val="32"/>
          <w:szCs w:val="32"/>
          <w:highlight w:val="none"/>
          <w:shd w:val="clear" w:color="auto" w:fill="FFFFFF"/>
          <w:lang w:val="en-US" w:eastAsia="zh-CN"/>
        </w:rPr>
        <w:t>6</w:t>
      </w:r>
      <w:r>
        <w:rPr>
          <w:rFonts w:ascii="仿宋_GB2312" w:hAnsi="仿宋_GB2312" w:eastAsia="仿宋_GB2312" w:cs="仿宋_GB2312"/>
          <w:color w:val="0F1115"/>
          <w:sz w:val="32"/>
          <w:szCs w:val="32"/>
          <w:highlight w:val="none"/>
          <w:shd w:val="clear" w:color="auto" w:fill="FFFFFF"/>
        </w:rPr>
        <w:t>年</w:t>
      </w:r>
      <w:r>
        <w:rPr>
          <w:rFonts w:hint="eastAsia" w:ascii="仿宋_GB2312" w:hAnsi="仿宋_GB2312" w:eastAsia="仿宋_GB2312" w:cs="仿宋_GB2312"/>
          <w:color w:val="0F1115"/>
          <w:sz w:val="32"/>
          <w:szCs w:val="32"/>
          <w:highlight w:val="none"/>
          <w:shd w:val="clear" w:color="auto" w:fill="FFFFFF"/>
          <w:lang w:val="en-US" w:eastAsia="zh-CN"/>
        </w:rPr>
        <w:t>2</w:t>
      </w:r>
      <w:r>
        <w:rPr>
          <w:rFonts w:ascii="仿宋_GB2312" w:hAnsi="仿宋_GB2312" w:eastAsia="仿宋_GB2312" w:cs="仿宋_GB2312"/>
          <w:color w:val="0F1115"/>
          <w:sz w:val="32"/>
          <w:szCs w:val="32"/>
          <w:highlight w:val="none"/>
          <w:shd w:val="clear" w:color="auto" w:fill="FFFFFF"/>
        </w:rPr>
        <w:t>月</w:t>
      </w:r>
      <w:r>
        <w:rPr>
          <w:rFonts w:hint="eastAsia" w:ascii="仿宋_GB2312" w:hAnsi="仿宋_GB2312" w:eastAsia="仿宋_GB2312" w:cs="仿宋_GB2312"/>
          <w:color w:val="0F1115"/>
          <w:sz w:val="32"/>
          <w:szCs w:val="32"/>
          <w:highlight w:val="none"/>
          <w:shd w:val="clear" w:color="auto" w:fill="FFFFFF"/>
          <w:lang w:val="en-US" w:eastAsia="zh-CN"/>
        </w:rPr>
        <w:t>4</w:t>
      </w:r>
      <w:r>
        <w:rPr>
          <w:rFonts w:ascii="仿宋_GB2312" w:hAnsi="仿宋_GB2312" w:eastAsia="仿宋_GB2312" w:cs="仿宋_GB2312"/>
          <w:color w:val="0F1115"/>
          <w:sz w:val="32"/>
          <w:szCs w:val="32"/>
          <w:highlight w:val="none"/>
          <w:shd w:val="clear" w:color="auto" w:fill="FFFFFF"/>
        </w:rPr>
        <w:t>日上午</w:t>
      </w:r>
      <w:r>
        <w:rPr>
          <w:rFonts w:hint="eastAsia" w:ascii="仿宋_GB2312" w:hAnsi="仿宋_GB2312" w:eastAsia="仿宋_GB2312" w:cs="仿宋_GB2312"/>
          <w:color w:val="0F1115"/>
          <w:sz w:val="32"/>
          <w:szCs w:val="32"/>
          <w:highlight w:val="none"/>
          <w:shd w:val="clear" w:color="auto" w:fill="FFFFFF"/>
          <w:lang w:val="en-US" w:eastAsia="zh-CN"/>
        </w:rPr>
        <w:t>9</w:t>
      </w:r>
      <w:r>
        <w:rPr>
          <w:rFonts w:ascii="仿宋_GB2312" w:hAnsi="仿宋_GB2312" w:eastAsia="仿宋_GB2312" w:cs="仿宋_GB2312"/>
          <w:color w:val="0F1115"/>
          <w:sz w:val="32"/>
          <w:szCs w:val="32"/>
          <w:highlight w:val="none"/>
          <w:shd w:val="clear" w:color="auto" w:fill="FFFFFF"/>
        </w:rPr>
        <w:t>时</w:t>
      </w:r>
      <w:r>
        <w:rPr>
          <w:rFonts w:ascii="仿宋_GB2312" w:hAnsi="仿宋_GB2312" w:eastAsia="仿宋_GB2312" w:cs="仿宋_GB2312"/>
          <w:color w:val="0F1115"/>
          <w:sz w:val="32"/>
          <w:szCs w:val="32"/>
          <w:shd w:val="clear" w:color="auto" w:fill="FFFFFF"/>
        </w:rPr>
        <w:t>（北京时间）；</w:t>
      </w:r>
    </w:p>
    <w:p w14:paraId="137A8080">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开标方式：网上开标，开标时无需投标人到达现场。</w:t>
      </w:r>
    </w:p>
    <w:p w14:paraId="513BF429">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上传投标文件截止时间：</w:t>
      </w:r>
      <w:r>
        <w:rPr>
          <w:rFonts w:hint="eastAsia" w:ascii="仿宋_GB2312" w:hAnsi="仿宋_GB2312" w:eastAsia="仿宋_GB2312" w:cs="仿宋_GB2312"/>
          <w:color w:val="0F1115"/>
          <w:sz w:val="32"/>
          <w:szCs w:val="32"/>
          <w:shd w:val="clear" w:color="auto" w:fill="FFFFFF"/>
          <w:lang w:val="en-US" w:eastAsia="zh-CN"/>
        </w:rPr>
        <w:t>202</w:t>
      </w:r>
      <w:r>
        <w:rPr>
          <w:rFonts w:hint="eastAsia" w:ascii="仿宋_GB2312" w:hAnsi="仿宋_GB2312" w:eastAsia="仿宋_GB2312" w:cs="仿宋_GB2312"/>
          <w:color w:val="0F1115"/>
          <w:sz w:val="32"/>
          <w:szCs w:val="32"/>
          <w:highlight w:val="none"/>
          <w:shd w:val="clear" w:color="auto" w:fill="FFFFFF"/>
          <w:lang w:val="en-US" w:eastAsia="zh-CN"/>
        </w:rPr>
        <w:t>6</w:t>
      </w:r>
      <w:r>
        <w:rPr>
          <w:rFonts w:ascii="仿宋_GB2312" w:hAnsi="仿宋_GB2312" w:eastAsia="仿宋_GB2312" w:cs="仿宋_GB2312"/>
          <w:color w:val="0F1115"/>
          <w:sz w:val="32"/>
          <w:szCs w:val="32"/>
          <w:highlight w:val="none"/>
          <w:shd w:val="clear" w:color="auto" w:fill="FFFFFF"/>
        </w:rPr>
        <w:t>年</w:t>
      </w:r>
      <w:r>
        <w:rPr>
          <w:rFonts w:hint="eastAsia" w:ascii="仿宋_GB2312" w:hAnsi="仿宋_GB2312" w:eastAsia="仿宋_GB2312" w:cs="仿宋_GB2312"/>
          <w:color w:val="0F1115"/>
          <w:sz w:val="32"/>
          <w:szCs w:val="32"/>
          <w:highlight w:val="none"/>
          <w:shd w:val="clear" w:color="auto" w:fill="FFFFFF"/>
          <w:lang w:val="en-US" w:eastAsia="zh-CN"/>
        </w:rPr>
        <w:t>2</w:t>
      </w:r>
      <w:r>
        <w:rPr>
          <w:rFonts w:ascii="仿宋_GB2312" w:hAnsi="仿宋_GB2312" w:eastAsia="仿宋_GB2312" w:cs="仿宋_GB2312"/>
          <w:color w:val="0F1115"/>
          <w:sz w:val="32"/>
          <w:szCs w:val="32"/>
          <w:highlight w:val="none"/>
          <w:shd w:val="clear" w:color="auto" w:fill="FFFFFF"/>
        </w:rPr>
        <w:t>月</w:t>
      </w:r>
      <w:r>
        <w:rPr>
          <w:rFonts w:hint="eastAsia" w:ascii="仿宋_GB2312" w:hAnsi="仿宋_GB2312" w:eastAsia="仿宋_GB2312" w:cs="仿宋_GB2312"/>
          <w:color w:val="0F1115"/>
          <w:sz w:val="32"/>
          <w:szCs w:val="32"/>
          <w:highlight w:val="none"/>
          <w:shd w:val="clear" w:color="auto" w:fill="FFFFFF"/>
          <w:lang w:val="en-US" w:eastAsia="zh-CN"/>
        </w:rPr>
        <w:t>4</w:t>
      </w:r>
      <w:r>
        <w:rPr>
          <w:rFonts w:ascii="仿宋_GB2312" w:hAnsi="仿宋_GB2312" w:eastAsia="仿宋_GB2312" w:cs="仿宋_GB2312"/>
          <w:color w:val="0F1115"/>
          <w:sz w:val="32"/>
          <w:szCs w:val="32"/>
          <w:highlight w:val="none"/>
          <w:shd w:val="clear" w:color="auto" w:fill="FFFFFF"/>
        </w:rPr>
        <w:t>日上午</w:t>
      </w:r>
      <w:r>
        <w:rPr>
          <w:rFonts w:hint="eastAsia" w:ascii="仿宋_GB2312" w:hAnsi="仿宋_GB2312" w:eastAsia="仿宋_GB2312" w:cs="仿宋_GB2312"/>
          <w:color w:val="0F1115"/>
          <w:sz w:val="32"/>
          <w:szCs w:val="32"/>
          <w:highlight w:val="none"/>
          <w:shd w:val="clear" w:color="auto" w:fill="FFFFFF"/>
          <w:lang w:val="en-US" w:eastAsia="zh-CN"/>
        </w:rPr>
        <w:t>9</w:t>
      </w:r>
      <w:r>
        <w:rPr>
          <w:rFonts w:ascii="仿宋_GB2312" w:hAnsi="仿宋_GB2312" w:eastAsia="仿宋_GB2312" w:cs="仿宋_GB2312"/>
          <w:color w:val="0F1115"/>
          <w:sz w:val="32"/>
          <w:szCs w:val="32"/>
          <w:highlight w:val="none"/>
          <w:shd w:val="clear" w:color="auto" w:fill="FFFFFF"/>
        </w:rPr>
        <w:t>时之前</w:t>
      </w:r>
      <w:r>
        <w:rPr>
          <w:rFonts w:ascii="仿宋_GB2312" w:hAnsi="仿宋_GB2312" w:eastAsia="仿宋_GB2312" w:cs="仿宋_GB2312"/>
          <w:color w:val="0F1115"/>
          <w:sz w:val="32"/>
          <w:szCs w:val="32"/>
          <w:shd w:val="clear" w:color="auto" w:fill="FFFFFF"/>
        </w:rPr>
        <w:t>（北京时间）。投标人须按A包、B包分别制作并上传投标文件。</w:t>
      </w:r>
    </w:p>
    <w:p w14:paraId="33AE4C14">
      <w:pPr>
        <w:pStyle w:val="16"/>
        <w:widowControl/>
        <w:spacing w:line="592" w:lineRule="exact"/>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b/>
          <w:bCs/>
          <w:color w:val="0F1115"/>
          <w:sz w:val="32"/>
          <w:szCs w:val="32"/>
          <w:shd w:val="clear" w:color="auto" w:fill="FFFFFF"/>
        </w:rPr>
        <w:t>十.</w:t>
      </w:r>
      <w:r>
        <w:rPr>
          <w:rFonts w:ascii="仿宋_GB2312" w:hAnsi="仿宋_GB2312" w:eastAsia="仿宋_GB2312" w:cs="仿宋_GB2312"/>
          <w:b/>
          <w:bCs/>
          <w:color w:val="0F1115"/>
          <w:sz w:val="32"/>
          <w:szCs w:val="32"/>
          <w:shd w:val="clear" w:color="auto" w:fill="FFFFFF"/>
        </w:rPr>
        <w:t>工期/供货期</w:t>
      </w:r>
      <w:r>
        <w:rPr>
          <w:rFonts w:ascii="仿宋_GB2312" w:hAnsi="仿宋_GB2312" w:eastAsia="仿宋_GB2312" w:cs="仿宋_GB2312"/>
          <w:color w:val="0F1115"/>
          <w:sz w:val="32"/>
          <w:szCs w:val="32"/>
          <w:shd w:val="clear" w:color="auto" w:fill="FFFFFF"/>
        </w:rPr>
        <w:t>：详见招标范围及工期要求。</w:t>
      </w:r>
    </w:p>
    <w:p w14:paraId="197F6318">
      <w:pPr>
        <w:pStyle w:val="16"/>
        <w:widowControl/>
        <w:spacing w:line="592" w:lineRule="exact"/>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b/>
          <w:bCs/>
          <w:color w:val="0F1115"/>
          <w:sz w:val="32"/>
          <w:szCs w:val="32"/>
          <w:shd w:val="clear" w:color="auto" w:fill="FFFFFF"/>
        </w:rPr>
        <w:t>十</w:t>
      </w:r>
      <w:r>
        <w:rPr>
          <w:rFonts w:hint="eastAsia" w:ascii="仿宋_GB2312" w:hAnsi="仿宋_GB2312" w:eastAsia="仿宋_GB2312" w:cs="仿宋_GB2312"/>
          <w:b/>
          <w:bCs/>
          <w:color w:val="0F1115"/>
          <w:sz w:val="32"/>
          <w:szCs w:val="32"/>
          <w:shd w:val="clear" w:color="auto" w:fill="FFFFFF"/>
          <w:lang w:val="en-US" w:eastAsia="zh-CN"/>
        </w:rPr>
        <w:t>一</w:t>
      </w:r>
      <w:r>
        <w:rPr>
          <w:rFonts w:hint="eastAsia" w:ascii="仿宋_GB2312" w:hAnsi="仿宋_GB2312" w:eastAsia="仿宋_GB2312" w:cs="仿宋_GB2312"/>
          <w:b/>
          <w:bCs/>
          <w:color w:val="0F1115"/>
          <w:sz w:val="32"/>
          <w:szCs w:val="32"/>
          <w:shd w:val="clear" w:color="auto" w:fill="FFFFFF"/>
        </w:rPr>
        <w:t>.</w:t>
      </w:r>
      <w:r>
        <w:rPr>
          <w:rFonts w:ascii="仿宋_GB2312" w:hAnsi="仿宋_GB2312" w:eastAsia="仿宋_GB2312" w:cs="仿宋_GB2312"/>
          <w:b/>
          <w:bCs/>
          <w:color w:val="0F1115"/>
          <w:sz w:val="32"/>
          <w:szCs w:val="32"/>
          <w:shd w:val="clear" w:color="auto" w:fill="FFFFFF"/>
        </w:rPr>
        <w:t>招标联系人</w:t>
      </w:r>
      <w:r>
        <w:rPr>
          <w:rFonts w:ascii="仿宋_GB2312" w:hAnsi="仿宋_GB2312" w:eastAsia="仿宋_GB2312" w:cs="仿宋_GB2312"/>
          <w:color w:val="0F1115"/>
          <w:sz w:val="32"/>
          <w:szCs w:val="32"/>
          <w:shd w:val="clear" w:color="auto" w:fill="FFFFFF"/>
        </w:rPr>
        <w:t>：</w:t>
      </w:r>
    </w:p>
    <w:p w14:paraId="1AFBF76E">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招标联系人：于工，联系电话：17615831790；</w:t>
      </w:r>
    </w:p>
    <w:p w14:paraId="4005EB0A">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技术联系人：王工，联系电话：18764169925；</w:t>
      </w:r>
    </w:p>
    <w:p w14:paraId="16C8CBC1">
      <w:pPr>
        <w:pStyle w:val="16"/>
        <w:widowControl/>
        <w:spacing w:line="592" w:lineRule="exact"/>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b/>
          <w:bCs/>
          <w:color w:val="0F1115"/>
          <w:sz w:val="32"/>
          <w:szCs w:val="32"/>
          <w:shd w:val="clear" w:color="auto" w:fill="FFFFFF"/>
        </w:rPr>
        <w:t>十</w:t>
      </w:r>
      <w:r>
        <w:rPr>
          <w:rFonts w:hint="eastAsia" w:ascii="仿宋_GB2312" w:hAnsi="仿宋_GB2312" w:eastAsia="仿宋_GB2312" w:cs="仿宋_GB2312"/>
          <w:b/>
          <w:bCs/>
          <w:color w:val="0F1115"/>
          <w:sz w:val="32"/>
          <w:szCs w:val="32"/>
          <w:shd w:val="clear" w:color="auto" w:fill="FFFFFF"/>
          <w:lang w:val="en-US" w:eastAsia="zh-CN"/>
        </w:rPr>
        <w:t>二</w:t>
      </w:r>
      <w:r>
        <w:rPr>
          <w:rFonts w:hint="eastAsia" w:ascii="仿宋_GB2312" w:hAnsi="仿宋_GB2312" w:eastAsia="仿宋_GB2312" w:cs="仿宋_GB2312"/>
          <w:b/>
          <w:bCs/>
          <w:color w:val="0F1115"/>
          <w:sz w:val="32"/>
          <w:szCs w:val="32"/>
          <w:shd w:val="clear" w:color="auto" w:fill="FFFFFF"/>
        </w:rPr>
        <w:t>.</w:t>
      </w:r>
      <w:r>
        <w:rPr>
          <w:rFonts w:ascii="仿宋_GB2312" w:hAnsi="仿宋_GB2312" w:eastAsia="仿宋_GB2312" w:cs="仿宋_GB2312"/>
          <w:color w:val="0F1115"/>
          <w:sz w:val="32"/>
          <w:szCs w:val="32"/>
          <w:shd w:val="clear" w:color="auto" w:fill="FFFFFF"/>
        </w:rPr>
        <w:t>报名及投标人员在济南黄河爆破工程有限责任公司的一切活动，必须遵守济南黄河爆破工程有限责任公司的安全规定。现场技术交底及现场装运必须遵守现场安全管理规定，服从现场指挥。</w:t>
      </w:r>
    </w:p>
    <w:p w14:paraId="0D1DAC09">
      <w:pPr>
        <w:pStyle w:val="16"/>
        <w:widowControl/>
        <w:spacing w:line="592" w:lineRule="exact"/>
        <w:rPr>
          <w:rFonts w:ascii="仿宋_GB2312" w:hAnsi="仿宋_GB2312" w:eastAsia="仿宋_GB2312" w:cs="仿宋_GB2312"/>
          <w:b/>
          <w:bCs/>
          <w:color w:val="0F1115"/>
          <w:sz w:val="32"/>
          <w:szCs w:val="32"/>
          <w:shd w:val="clear" w:color="auto" w:fill="FFFFFF"/>
        </w:rPr>
      </w:pPr>
      <w:r>
        <w:rPr>
          <w:rFonts w:ascii="仿宋_GB2312" w:hAnsi="仿宋_GB2312" w:eastAsia="仿宋_GB2312" w:cs="仿宋_GB2312"/>
          <w:b/>
          <w:bCs/>
          <w:color w:val="0F1115"/>
          <w:sz w:val="32"/>
          <w:szCs w:val="32"/>
          <w:shd w:val="clear" w:color="auto" w:fill="FFFFFF"/>
        </w:rPr>
        <w:t>十</w:t>
      </w:r>
      <w:r>
        <w:rPr>
          <w:rFonts w:hint="eastAsia" w:ascii="仿宋_GB2312" w:hAnsi="仿宋_GB2312" w:eastAsia="仿宋_GB2312" w:cs="仿宋_GB2312"/>
          <w:b/>
          <w:bCs/>
          <w:color w:val="0F1115"/>
          <w:sz w:val="32"/>
          <w:szCs w:val="32"/>
          <w:shd w:val="clear" w:color="auto" w:fill="FFFFFF"/>
          <w:lang w:val="en-US" w:eastAsia="zh-CN"/>
        </w:rPr>
        <w:t>三</w:t>
      </w:r>
      <w:r>
        <w:rPr>
          <w:rFonts w:hint="eastAsia" w:ascii="仿宋_GB2312" w:hAnsi="仿宋_GB2312" w:eastAsia="仿宋_GB2312" w:cs="仿宋_GB2312"/>
          <w:b/>
          <w:bCs/>
          <w:color w:val="0F1115"/>
          <w:sz w:val="32"/>
          <w:szCs w:val="32"/>
          <w:shd w:val="clear" w:color="auto" w:fill="FFFFFF"/>
        </w:rPr>
        <w:t>.</w:t>
      </w:r>
      <w:r>
        <w:rPr>
          <w:rFonts w:ascii="仿宋_GB2312" w:hAnsi="仿宋_GB2312" w:eastAsia="仿宋_GB2312" w:cs="仿宋_GB2312"/>
          <w:b/>
          <w:bCs/>
          <w:color w:val="0F1115"/>
          <w:sz w:val="32"/>
          <w:szCs w:val="32"/>
          <w:shd w:val="clear" w:color="auto" w:fill="FFFFFF"/>
        </w:rPr>
        <w:t>特别说明</w:t>
      </w:r>
    </w:p>
    <w:p w14:paraId="51378B07">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1.</w:t>
      </w:r>
      <w:r>
        <w:rPr>
          <w:rFonts w:ascii="仿宋_GB2312" w:hAnsi="仿宋_GB2312" w:eastAsia="仿宋_GB2312" w:cs="仿宋_GB2312"/>
          <w:color w:val="0F1115"/>
          <w:sz w:val="32"/>
          <w:szCs w:val="32"/>
          <w:shd w:val="clear" w:color="auto" w:fill="FFFFFF"/>
        </w:rPr>
        <w:t>A包投标人须充分考虑节假日、冬季生产及极端严格的供货时效性等因素，在投标文件中提供详细的生产组织、质量保障、运输与应急供货方案。</w:t>
      </w:r>
    </w:p>
    <w:p w14:paraId="5B4D9182">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2.</w:t>
      </w:r>
      <w:r>
        <w:rPr>
          <w:rFonts w:ascii="仿宋_GB2312" w:hAnsi="仿宋_GB2312" w:eastAsia="仿宋_GB2312" w:cs="仿宋_GB2312"/>
          <w:color w:val="0F1115"/>
          <w:sz w:val="32"/>
          <w:szCs w:val="32"/>
          <w:shd w:val="clear" w:color="auto" w:fill="FFFFFF"/>
        </w:rPr>
        <w:t>B包投标人须充分考虑节假日、冬季施工及养护周期等因素，在投标文件中提供详细的施工组织方案与工期保证措施，并须包含与A包材料供应商的协调配合方案。</w:t>
      </w:r>
    </w:p>
    <w:p w14:paraId="56CD8A23">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3.</w:t>
      </w:r>
      <w:r>
        <w:rPr>
          <w:rFonts w:ascii="仿宋_GB2312" w:hAnsi="仿宋_GB2312" w:eastAsia="仿宋_GB2312" w:cs="仿宋_GB2312"/>
          <w:color w:val="0F1115"/>
          <w:sz w:val="32"/>
          <w:szCs w:val="32"/>
          <w:shd w:val="clear" w:color="auto" w:fill="FFFFFF"/>
        </w:rPr>
        <w:t>A包与B包中标人须在招标人协调下，</w:t>
      </w:r>
      <w:r>
        <w:rPr>
          <w:rFonts w:hint="eastAsia" w:ascii="仿宋_GB2312" w:hAnsi="仿宋_GB2312" w:eastAsia="仿宋_GB2312" w:cs="仿宋_GB2312"/>
          <w:color w:val="0F1115"/>
          <w:sz w:val="32"/>
          <w:szCs w:val="32"/>
          <w:shd w:val="clear" w:color="auto" w:fill="FFFFFF"/>
        </w:rPr>
        <w:t>对</w:t>
      </w:r>
      <w:r>
        <w:rPr>
          <w:rFonts w:ascii="仿宋_GB2312" w:hAnsi="仿宋_GB2312" w:eastAsia="仿宋_GB2312" w:cs="仿宋_GB2312"/>
          <w:color w:val="0F1115"/>
          <w:sz w:val="32"/>
          <w:szCs w:val="32"/>
          <w:shd w:val="clear" w:color="auto" w:fill="FFFFFF"/>
        </w:rPr>
        <w:t>供货衔接与</w:t>
      </w:r>
      <w:r>
        <w:rPr>
          <w:rFonts w:hint="eastAsia" w:ascii="仿宋_GB2312" w:hAnsi="仿宋_GB2312" w:eastAsia="仿宋_GB2312" w:cs="仿宋_GB2312"/>
          <w:color w:val="0F1115"/>
          <w:sz w:val="32"/>
          <w:szCs w:val="32"/>
          <w:shd w:val="clear" w:color="auto" w:fill="FFFFFF"/>
        </w:rPr>
        <w:t>施工</w:t>
      </w:r>
      <w:r>
        <w:rPr>
          <w:rFonts w:ascii="仿宋_GB2312" w:hAnsi="仿宋_GB2312" w:eastAsia="仿宋_GB2312" w:cs="仿宋_GB2312"/>
          <w:color w:val="0F1115"/>
          <w:sz w:val="32"/>
          <w:szCs w:val="32"/>
          <w:shd w:val="clear" w:color="auto" w:fill="FFFFFF"/>
        </w:rPr>
        <w:t>明确界面责任。</w:t>
      </w:r>
    </w:p>
    <w:p w14:paraId="59C65706">
      <w:pPr>
        <w:pStyle w:val="16"/>
        <w:widowControl/>
        <w:spacing w:line="592" w:lineRule="exact"/>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十</w:t>
      </w:r>
      <w:r>
        <w:rPr>
          <w:rFonts w:hint="eastAsia" w:ascii="仿宋_GB2312" w:hAnsi="仿宋_GB2312" w:eastAsia="仿宋_GB2312" w:cs="仿宋_GB2312"/>
          <w:color w:val="0F1115"/>
          <w:sz w:val="32"/>
          <w:szCs w:val="32"/>
          <w:shd w:val="clear" w:color="auto" w:fill="FFFFFF"/>
        </w:rPr>
        <w:t>五.</w:t>
      </w:r>
      <w:r>
        <w:rPr>
          <w:rFonts w:ascii="仿宋_GB2312" w:hAnsi="仿宋_GB2312" w:eastAsia="仿宋_GB2312" w:cs="仿宋_GB2312"/>
          <w:color w:val="0F1115"/>
          <w:sz w:val="32"/>
          <w:szCs w:val="32"/>
          <w:shd w:val="clear" w:color="auto" w:fill="FFFFFF"/>
        </w:rPr>
        <w:t>公告中的招标内容和招标其他要求以最终的招标文件为准。</w:t>
      </w:r>
    </w:p>
    <w:p w14:paraId="2F46981B">
      <w:pPr>
        <w:pStyle w:val="16"/>
        <w:widowControl/>
        <w:spacing w:line="592" w:lineRule="exact"/>
        <w:ind w:firstLine="640" w:firstLineChars="200"/>
        <w:jc w:val="right"/>
        <w:rPr>
          <w:rFonts w:ascii="仿宋_GB2312" w:hAnsi="仿宋_GB2312" w:eastAsia="仿宋_GB2312" w:cs="仿宋_GB2312"/>
          <w:color w:val="0F1115"/>
          <w:sz w:val="32"/>
          <w:szCs w:val="32"/>
          <w:highlight w:val="yellow"/>
          <w:shd w:val="clear" w:color="auto" w:fill="FFFFFF"/>
        </w:rPr>
      </w:pPr>
      <w:r>
        <w:rPr>
          <w:rFonts w:ascii="仿宋_GB2312" w:hAnsi="仿宋_GB2312" w:eastAsia="仿宋_GB2312" w:cs="仿宋_GB2312"/>
          <w:color w:val="0F1115"/>
          <w:sz w:val="32"/>
          <w:szCs w:val="32"/>
          <w:shd w:val="clear" w:color="auto" w:fill="FFFFFF"/>
        </w:rPr>
        <w:t>济南黄河爆破工程有限责任公司</w:t>
      </w:r>
      <w:r>
        <w:rPr>
          <w:rFonts w:ascii="仿宋_GB2312" w:hAnsi="仿宋_GB2312" w:eastAsia="仿宋_GB2312" w:cs="仿宋_GB2312"/>
          <w:color w:val="0F1115"/>
          <w:sz w:val="32"/>
          <w:szCs w:val="32"/>
          <w:shd w:val="clear" w:color="auto" w:fill="FFFFFF"/>
        </w:rPr>
        <w:br w:type="textWrapping"/>
      </w:r>
      <w:r>
        <w:rPr>
          <w:rFonts w:hint="eastAsia" w:ascii="仿宋_GB2312" w:hAnsi="仿宋_GB2312" w:eastAsia="仿宋_GB2312" w:cs="仿宋_GB2312"/>
          <w:color w:val="0F1115"/>
          <w:sz w:val="32"/>
          <w:szCs w:val="32"/>
          <w:shd w:val="clear" w:color="auto" w:fill="FFFFFF"/>
          <w:lang w:val="en-US" w:eastAsia="zh-CN"/>
        </w:rPr>
        <w:t>202</w:t>
      </w:r>
      <w:r>
        <w:rPr>
          <w:rFonts w:hint="eastAsia" w:ascii="仿宋_GB2312" w:hAnsi="仿宋_GB2312" w:eastAsia="仿宋_GB2312" w:cs="仿宋_GB2312"/>
          <w:color w:val="0F1115"/>
          <w:sz w:val="32"/>
          <w:szCs w:val="32"/>
          <w:highlight w:val="none"/>
          <w:shd w:val="clear" w:color="auto" w:fill="FFFFFF"/>
          <w:lang w:val="en-US" w:eastAsia="zh-CN"/>
        </w:rPr>
        <w:t>6</w:t>
      </w:r>
      <w:r>
        <w:rPr>
          <w:rFonts w:ascii="仿宋_GB2312" w:hAnsi="仿宋_GB2312" w:eastAsia="仿宋_GB2312" w:cs="仿宋_GB2312"/>
          <w:color w:val="0F1115"/>
          <w:sz w:val="32"/>
          <w:szCs w:val="32"/>
          <w:highlight w:val="none"/>
          <w:shd w:val="clear" w:color="auto" w:fill="FFFFFF"/>
        </w:rPr>
        <w:t>年</w:t>
      </w:r>
      <w:r>
        <w:rPr>
          <w:rFonts w:hint="eastAsia" w:ascii="仿宋_GB2312" w:hAnsi="仿宋_GB2312" w:eastAsia="仿宋_GB2312" w:cs="仿宋_GB2312"/>
          <w:color w:val="0F1115"/>
          <w:sz w:val="32"/>
          <w:szCs w:val="32"/>
          <w:highlight w:val="none"/>
          <w:shd w:val="clear" w:color="auto" w:fill="FFFFFF"/>
          <w:lang w:val="en-US" w:eastAsia="zh-CN"/>
        </w:rPr>
        <w:t>1</w:t>
      </w:r>
      <w:r>
        <w:rPr>
          <w:rFonts w:ascii="仿宋_GB2312" w:hAnsi="仿宋_GB2312" w:eastAsia="仿宋_GB2312" w:cs="仿宋_GB2312"/>
          <w:color w:val="0F1115"/>
          <w:sz w:val="32"/>
          <w:szCs w:val="32"/>
          <w:highlight w:val="none"/>
          <w:shd w:val="clear" w:color="auto" w:fill="FFFFFF"/>
        </w:rPr>
        <w:t>月</w:t>
      </w:r>
      <w:r>
        <w:rPr>
          <w:rFonts w:hint="eastAsia" w:ascii="仿宋_GB2312" w:hAnsi="仿宋_GB2312" w:eastAsia="仿宋_GB2312" w:cs="仿宋_GB2312"/>
          <w:color w:val="0F1115"/>
          <w:sz w:val="32"/>
          <w:szCs w:val="32"/>
          <w:highlight w:val="none"/>
          <w:shd w:val="clear" w:color="auto" w:fill="FFFFFF"/>
          <w:lang w:val="en-US" w:eastAsia="zh-CN"/>
        </w:rPr>
        <w:t>30</w:t>
      </w:r>
      <w:r>
        <w:rPr>
          <w:rFonts w:ascii="仿宋_GB2312" w:hAnsi="仿宋_GB2312" w:eastAsia="仿宋_GB2312" w:cs="仿宋_GB2312"/>
          <w:color w:val="0F1115"/>
          <w:sz w:val="32"/>
          <w:szCs w:val="32"/>
          <w:highlight w:val="none"/>
          <w:shd w:val="clear" w:color="auto" w:fill="FFFFFF"/>
        </w:rPr>
        <w:t>日</w:t>
      </w:r>
      <w:r>
        <w:rPr>
          <w:rFonts w:ascii="仿宋_GB2312" w:hAnsi="仿宋_GB2312" w:eastAsia="仿宋_GB2312" w:cs="仿宋_GB2312"/>
          <w:color w:val="0F1115"/>
          <w:sz w:val="32"/>
          <w:szCs w:val="32"/>
          <w:highlight w:val="yellow"/>
          <w:shd w:val="clear" w:color="auto" w:fill="FFFFFF"/>
        </w:rPr>
        <w:br w:type="page"/>
      </w:r>
    </w:p>
    <w:p w14:paraId="47A1E229">
      <w:pPr>
        <w:pStyle w:val="16"/>
        <w:widowControl/>
        <w:spacing w:line="592" w:lineRule="exact"/>
        <w:ind w:firstLine="640" w:firstLineChars="200"/>
        <w:jc w:val="right"/>
        <w:rPr>
          <w:rFonts w:ascii="仿宋_GB2312" w:hAnsi="仿宋_GB2312" w:eastAsia="仿宋_GB2312" w:cs="仿宋_GB2312"/>
          <w:color w:val="0F1115"/>
          <w:sz w:val="32"/>
          <w:szCs w:val="32"/>
          <w:highlight w:val="yellow"/>
          <w:shd w:val="clear" w:color="auto" w:fill="FFFFFF"/>
        </w:rPr>
      </w:pPr>
    </w:p>
    <w:p w14:paraId="7F70AA4D">
      <w:pPr>
        <w:pStyle w:val="25"/>
        <w:keepNext w:val="0"/>
        <w:keepLines w:val="0"/>
        <w:widowControl/>
        <w:spacing w:before="0" w:after="0" w:line="592" w:lineRule="exact"/>
        <w:ind w:firstLine="216"/>
        <w:jc w:val="center"/>
        <w:outlineLvl w:val="0"/>
        <w:rPr>
          <w:rFonts w:ascii="方正小标宋简体" w:hAnsi="方正小标宋简体" w:eastAsia="方正小标宋简体" w:cs="方正小标宋简体"/>
          <w:i w:val="0"/>
          <w:color w:val="000000"/>
          <w:kern w:val="2"/>
          <w:sz w:val="44"/>
          <w:szCs w:val="44"/>
        </w:rPr>
      </w:pPr>
      <w:bookmarkStart w:id="1" w:name="_Toc25688"/>
      <w:r>
        <w:rPr>
          <w:rFonts w:ascii="方正小标宋简体" w:hAnsi="方正小标宋简体" w:eastAsia="方正小标宋简体" w:cs="方正小标宋简体"/>
          <w:i w:val="0"/>
          <w:color w:val="000000"/>
          <w:kern w:val="2"/>
          <w:sz w:val="44"/>
          <w:szCs w:val="44"/>
        </w:rPr>
        <w:t>第二章 投标人须知</w:t>
      </w:r>
      <w:bookmarkEnd w:id="1"/>
    </w:p>
    <w:p w14:paraId="5FD326E2">
      <w:pPr>
        <w:pStyle w:val="16"/>
        <w:widowControl/>
        <w:spacing w:line="592" w:lineRule="exact"/>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投标人须知前附表</w:t>
      </w:r>
    </w:p>
    <w:tbl>
      <w:tblPr>
        <w:tblStyle w:val="18"/>
        <w:tblW w:w="8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770"/>
        <w:gridCol w:w="1336"/>
        <w:gridCol w:w="3368"/>
        <w:gridCol w:w="3077"/>
      </w:tblGrid>
      <w:tr w14:paraId="2F1A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0" w:hRule="exact"/>
          <w:tblHeader/>
        </w:trPr>
        <w:tc>
          <w:tcPr>
            <w:tcW w:w="0" w:type="auto"/>
            <w:shd w:val="clear" w:color="auto" w:fill="auto"/>
            <w:tcMar>
              <w:top w:w="150" w:type="dxa"/>
              <w:left w:w="0" w:type="dxa"/>
              <w:bottom w:w="150" w:type="dxa"/>
              <w:right w:w="240" w:type="dxa"/>
            </w:tcMar>
            <w:vAlign w:val="center"/>
          </w:tcPr>
          <w:p w14:paraId="4484A6D6">
            <w:pPr>
              <w:pStyle w:val="16"/>
              <w:widowControl/>
              <w:jc w:val="center"/>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条号</w:t>
            </w:r>
          </w:p>
        </w:tc>
        <w:tc>
          <w:tcPr>
            <w:tcW w:w="0" w:type="auto"/>
            <w:shd w:val="clear" w:color="auto" w:fill="auto"/>
            <w:tcMar>
              <w:top w:w="150" w:type="dxa"/>
              <w:left w:w="240" w:type="dxa"/>
              <w:bottom w:w="150" w:type="dxa"/>
              <w:right w:w="240" w:type="dxa"/>
            </w:tcMar>
            <w:vAlign w:val="center"/>
          </w:tcPr>
          <w:p w14:paraId="1D5716BA">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条款名称</w:t>
            </w:r>
          </w:p>
        </w:tc>
        <w:tc>
          <w:tcPr>
            <w:tcW w:w="3368" w:type="dxa"/>
            <w:shd w:val="clear" w:color="auto" w:fill="auto"/>
            <w:tcMar>
              <w:top w:w="150" w:type="dxa"/>
              <w:left w:w="240" w:type="dxa"/>
              <w:bottom w:w="150" w:type="dxa"/>
              <w:right w:w="240" w:type="dxa"/>
            </w:tcMar>
            <w:vAlign w:val="center"/>
          </w:tcPr>
          <w:p w14:paraId="1E315C50">
            <w:pPr>
              <w:pStyle w:val="16"/>
              <w:widowControl/>
              <w:jc w:val="center"/>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A包-材料供应</w:t>
            </w:r>
          </w:p>
        </w:tc>
        <w:tc>
          <w:tcPr>
            <w:tcW w:w="3077" w:type="dxa"/>
            <w:shd w:val="clear" w:color="auto" w:fill="auto"/>
            <w:tcMar>
              <w:top w:w="150" w:type="dxa"/>
              <w:left w:w="240" w:type="dxa"/>
              <w:bottom w:w="150" w:type="dxa"/>
              <w:right w:w="240" w:type="dxa"/>
            </w:tcMar>
            <w:vAlign w:val="center"/>
          </w:tcPr>
          <w:p w14:paraId="044195D7">
            <w:pPr>
              <w:pStyle w:val="16"/>
              <w:widowControl/>
              <w:jc w:val="center"/>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B包-工程施工</w:t>
            </w:r>
          </w:p>
        </w:tc>
      </w:tr>
      <w:tr w14:paraId="2BC1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59" w:hRule="exact"/>
        </w:trPr>
        <w:tc>
          <w:tcPr>
            <w:tcW w:w="0" w:type="auto"/>
            <w:shd w:val="clear" w:color="auto" w:fill="auto"/>
            <w:tcMar>
              <w:top w:w="150" w:type="dxa"/>
              <w:left w:w="0" w:type="dxa"/>
              <w:bottom w:w="150" w:type="dxa"/>
              <w:right w:w="240" w:type="dxa"/>
            </w:tcMar>
            <w:vAlign w:val="center"/>
          </w:tcPr>
          <w:p w14:paraId="120E6C2A">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1.1.1</w:t>
            </w:r>
          </w:p>
        </w:tc>
        <w:tc>
          <w:tcPr>
            <w:tcW w:w="0" w:type="auto"/>
            <w:shd w:val="clear" w:color="auto" w:fill="auto"/>
            <w:tcMar>
              <w:top w:w="150" w:type="dxa"/>
              <w:left w:w="240" w:type="dxa"/>
              <w:bottom w:w="150" w:type="dxa"/>
              <w:right w:w="240" w:type="dxa"/>
            </w:tcMar>
            <w:vAlign w:val="center"/>
          </w:tcPr>
          <w:p w14:paraId="59C73EE7">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招标人</w:t>
            </w:r>
          </w:p>
        </w:tc>
        <w:tc>
          <w:tcPr>
            <w:tcW w:w="3368" w:type="dxa"/>
            <w:shd w:val="clear" w:color="auto" w:fill="auto"/>
            <w:tcMar>
              <w:top w:w="150" w:type="dxa"/>
              <w:left w:w="240" w:type="dxa"/>
              <w:bottom w:w="150" w:type="dxa"/>
              <w:right w:w="240" w:type="dxa"/>
            </w:tcMar>
            <w:vAlign w:val="center"/>
          </w:tcPr>
          <w:p w14:paraId="79F8CB5F">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名称：济南黄河爆破工程有限责任公司</w:t>
            </w:r>
          </w:p>
          <w:p w14:paraId="324F8622">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地址：山东省济南市章丘区官庄街道办事处弓角湾村</w:t>
            </w:r>
          </w:p>
        </w:tc>
        <w:tc>
          <w:tcPr>
            <w:tcW w:w="3077" w:type="dxa"/>
            <w:shd w:val="clear" w:color="auto" w:fill="auto"/>
            <w:tcMar>
              <w:top w:w="150" w:type="dxa"/>
              <w:left w:w="240" w:type="dxa"/>
              <w:bottom w:w="150" w:type="dxa"/>
              <w:right w:w="0" w:type="dxa"/>
            </w:tcMar>
            <w:vAlign w:val="center"/>
          </w:tcPr>
          <w:p w14:paraId="2E4487D8">
            <w:pPr>
              <w:pStyle w:val="16"/>
              <w:widowControl/>
              <w:jc w:val="left"/>
              <w:rPr>
                <w:rFonts w:hint="eastAsia"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名称：济南黄河爆破工程有限责任公司</w:t>
            </w:r>
          </w:p>
          <w:p w14:paraId="73AEEDCA">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地址：山东省济南市章丘区官庄街道办事处弓角湾村</w:t>
            </w:r>
          </w:p>
        </w:tc>
      </w:tr>
      <w:tr w14:paraId="43141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0" w:hRule="exact"/>
        </w:trPr>
        <w:tc>
          <w:tcPr>
            <w:tcW w:w="0" w:type="auto"/>
            <w:shd w:val="clear" w:color="auto" w:fill="auto"/>
            <w:tcMar>
              <w:top w:w="150" w:type="dxa"/>
              <w:left w:w="0" w:type="dxa"/>
              <w:bottom w:w="150" w:type="dxa"/>
              <w:right w:w="240" w:type="dxa"/>
            </w:tcMar>
            <w:vAlign w:val="center"/>
          </w:tcPr>
          <w:p w14:paraId="0F64F185">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1.1.2</w:t>
            </w:r>
          </w:p>
        </w:tc>
        <w:tc>
          <w:tcPr>
            <w:tcW w:w="0" w:type="auto"/>
            <w:shd w:val="clear" w:color="auto" w:fill="auto"/>
            <w:tcMar>
              <w:top w:w="150" w:type="dxa"/>
              <w:left w:w="240" w:type="dxa"/>
              <w:bottom w:w="150" w:type="dxa"/>
              <w:right w:w="240" w:type="dxa"/>
            </w:tcMar>
            <w:vAlign w:val="center"/>
          </w:tcPr>
          <w:p w14:paraId="117EEB9F">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项目名称</w:t>
            </w:r>
          </w:p>
        </w:tc>
        <w:tc>
          <w:tcPr>
            <w:tcW w:w="3368" w:type="dxa"/>
            <w:shd w:val="clear" w:color="auto" w:fill="auto"/>
            <w:tcMar>
              <w:top w:w="150" w:type="dxa"/>
              <w:left w:w="240" w:type="dxa"/>
              <w:bottom w:w="150" w:type="dxa"/>
              <w:right w:w="240" w:type="dxa"/>
            </w:tcMar>
            <w:vAlign w:val="center"/>
          </w:tcPr>
          <w:p w14:paraId="04FFD05B">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矿山连接道路破损维修工程沥青混合料采购（A包）</w:t>
            </w:r>
          </w:p>
        </w:tc>
        <w:tc>
          <w:tcPr>
            <w:tcW w:w="3077" w:type="dxa"/>
            <w:shd w:val="clear" w:color="auto" w:fill="auto"/>
            <w:tcMar>
              <w:top w:w="150" w:type="dxa"/>
              <w:left w:w="240" w:type="dxa"/>
              <w:bottom w:w="150" w:type="dxa"/>
              <w:right w:w="0" w:type="dxa"/>
            </w:tcMar>
            <w:vAlign w:val="center"/>
          </w:tcPr>
          <w:p w14:paraId="47B29C74">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矿山连接道路破损维修工程施工（B包）</w:t>
            </w:r>
          </w:p>
        </w:tc>
      </w:tr>
      <w:tr w14:paraId="424F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0" w:hRule="exact"/>
        </w:trPr>
        <w:tc>
          <w:tcPr>
            <w:tcW w:w="0" w:type="auto"/>
            <w:shd w:val="clear" w:color="auto" w:fill="auto"/>
            <w:tcMar>
              <w:top w:w="150" w:type="dxa"/>
              <w:left w:w="0" w:type="dxa"/>
              <w:bottom w:w="150" w:type="dxa"/>
              <w:right w:w="240" w:type="dxa"/>
            </w:tcMar>
            <w:vAlign w:val="center"/>
          </w:tcPr>
          <w:p w14:paraId="14097630">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1.1.3</w:t>
            </w:r>
          </w:p>
        </w:tc>
        <w:tc>
          <w:tcPr>
            <w:tcW w:w="0" w:type="auto"/>
            <w:shd w:val="clear" w:color="auto" w:fill="auto"/>
            <w:tcMar>
              <w:top w:w="150" w:type="dxa"/>
              <w:left w:w="240" w:type="dxa"/>
              <w:bottom w:w="150" w:type="dxa"/>
              <w:right w:w="240" w:type="dxa"/>
            </w:tcMar>
            <w:vAlign w:val="center"/>
          </w:tcPr>
          <w:p w14:paraId="5F98D213">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建设地点</w:t>
            </w:r>
          </w:p>
        </w:tc>
        <w:tc>
          <w:tcPr>
            <w:tcW w:w="3368" w:type="dxa"/>
            <w:shd w:val="clear" w:color="auto" w:fill="auto"/>
            <w:tcMar>
              <w:top w:w="150" w:type="dxa"/>
              <w:left w:w="240" w:type="dxa"/>
              <w:bottom w:w="150" w:type="dxa"/>
              <w:right w:w="240" w:type="dxa"/>
            </w:tcMar>
            <w:vAlign w:val="center"/>
          </w:tcPr>
          <w:p w14:paraId="4140A84C">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山东省济南市章丘区官庄街道办事处弓角湾村（供货目的地）</w:t>
            </w:r>
          </w:p>
        </w:tc>
        <w:tc>
          <w:tcPr>
            <w:tcW w:w="3077" w:type="dxa"/>
            <w:shd w:val="clear" w:color="auto" w:fill="auto"/>
            <w:tcMar>
              <w:top w:w="150" w:type="dxa"/>
              <w:left w:w="240" w:type="dxa"/>
              <w:bottom w:w="150" w:type="dxa"/>
              <w:right w:w="0" w:type="dxa"/>
            </w:tcMar>
            <w:vAlign w:val="center"/>
          </w:tcPr>
          <w:p w14:paraId="14975361">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山东省济南市章丘区官庄街道办事处弓角湾村</w:t>
            </w:r>
          </w:p>
        </w:tc>
      </w:tr>
      <w:tr w14:paraId="0004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0" w:hRule="exact"/>
        </w:trPr>
        <w:tc>
          <w:tcPr>
            <w:tcW w:w="0" w:type="auto"/>
            <w:shd w:val="clear" w:color="auto" w:fill="auto"/>
            <w:tcMar>
              <w:top w:w="150" w:type="dxa"/>
              <w:left w:w="0" w:type="dxa"/>
              <w:bottom w:w="150" w:type="dxa"/>
              <w:right w:w="240" w:type="dxa"/>
            </w:tcMar>
            <w:vAlign w:val="center"/>
          </w:tcPr>
          <w:p w14:paraId="7FEEDF38">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1.2.1</w:t>
            </w:r>
          </w:p>
        </w:tc>
        <w:tc>
          <w:tcPr>
            <w:tcW w:w="0" w:type="auto"/>
            <w:shd w:val="clear" w:color="auto" w:fill="auto"/>
            <w:tcMar>
              <w:top w:w="150" w:type="dxa"/>
              <w:left w:w="240" w:type="dxa"/>
              <w:bottom w:w="150" w:type="dxa"/>
              <w:right w:w="240" w:type="dxa"/>
            </w:tcMar>
            <w:vAlign w:val="center"/>
          </w:tcPr>
          <w:p w14:paraId="2588511E">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资金来源</w:t>
            </w:r>
          </w:p>
        </w:tc>
        <w:tc>
          <w:tcPr>
            <w:tcW w:w="3368" w:type="dxa"/>
            <w:shd w:val="clear" w:color="auto" w:fill="auto"/>
            <w:tcMar>
              <w:top w:w="150" w:type="dxa"/>
              <w:left w:w="240" w:type="dxa"/>
              <w:bottom w:w="150" w:type="dxa"/>
              <w:right w:w="240" w:type="dxa"/>
            </w:tcMar>
            <w:vAlign w:val="center"/>
          </w:tcPr>
          <w:p w14:paraId="36B37B64">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企业自筹</w:t>
            </w:r>
          </w:p>
        </w:tc>
        <w:tc>
          <w:tcPr>
            <w:tcW w:w="3077" w:type="dxa"/>
            <w:shd w:val="clear" w:color="auto" w:fill="auto"/>
            <w:tcMar>
              <w:top w:w="150" w:type="dxa"/>
              <w:left w:w="240" w:type="dxa"/>
              <w:bottom w:w="150" w:type="dxa"/>
              <w:right w:w="0" w:type="dxa"/>
            </w:tcMar>
            <w:vAlign w:val="center"/>
          </w:tcPr>
          <w:p w14:paraId="462DE120">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企业自筹</w:t>
            </w:r>
          </w:p>
        </w:tc>
      </w:tr>
      <w:tr w14:paraId="7ADC7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24" w:hRule="exact"/>
        </w:trPr>
        <w:tc>
          <w:tcPr>
            <w:tcW w:w="0" w:type="auto"/>
            <w:shd w:val="clear" w:color="auto" w:fill="auto"/>
            <w:tcMar>
              <w:top w:w="150" w:type="dxa"/>
              <w:left w:w="0" w:type="dxa"/>
              <w:bottom w:w="150" w:type="dxa"/>
              <w:right w:w="240" w:type="dxa"/>
            </w:tcMar>
            <w:vAlign w:val="center"/>
          </w:tcPr>
          <w:p w14:paraId="67A4EDB4">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1.3.1</w:t>
            </w:r>
          </w:p>
        </w:tc>
        <w:tc>
          <w:tcPr>
            <w:tcW w:w="0" w:type="auto"/>
            <w:shd w:val="clear" w:color="auto" w:fill="auto"/>
            <w:tcMar>
              <w:top w:w="150" w:type="dxa"/>
              <w:left w:w="240" w:type="dxa"/>
              <w:bottom w:w="150" w:type="dxa"/>
              <w:right w:w="240" w:type="dxa"/>
            </w:tcMar>
            <w:vAlign w:val="center"/>
          </w:tcPr>
          <w:p w14:paraId="5A769993">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招标内容、范围</w:t>
            </w:r>
          </w:p>
        </w:tc>
        <w:tc>
          <w:tcPr>
            <w:tcW w:w="3368" w:type="dxa"/>
            <w:shd w:val="clear" w:color="auto" w:fill="auto"/>
            <w:tcMar>
              <w:top w:w="150" w:type="dxa"/>
              <w:left w:w="240" w:type="dxa"/>
              <w:bottom w:w="150" w:type="dxa"/>
              <w:right w:w="240" w:type="dxa"/>
            </w:tcMar>
            <w:vAlign w:val="center"/>
          </w:tcPr>
          <w:p w14:paraId="3278CF0E">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提供本项目所需全部沥青混合料，包括SBS改性沥青、AC-20、SMA-13、乳化沥青等，详见A包工程量清单。</w:t>
            </w:r>
          </w:p>
        </w:tc>
        <w:tc>
          <w:tcPr>
            <w:tcW w:w="3077" w:type="dxa"/>
            <w:shd w:val="clear" w:color="auto" w:fill="auto"/>
            <w:tcMar>
              <w:top w:w="150" w:type="dxa"/>
              <w:left w:w="240" w:type="dxa"/>
              <w:bottom w:w="150" w:type="dxa"/>
              <w:right w:w="0" w:type="dxa"/>
            </w:tcMar>
            <w:vAlign w:val="center"/>
          </w:tcPr>
          <w:p w14:paraId="72CB487F">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道路铣刨、水稳层铺设（甲供料）、沥青混合料摊铺压实（甲供A包材料）等，详见B包工程量清单。</w:t>
            </w:r>
          </w:p>
        </w:tc>
      </w:tr>
      <w:tr w14:paraId="2F70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88" w:hRule="exact"/>
        </w:trPr>
        <w:tc>
          <w:tcPr>
            <w:tcW w:w="0" w:type="auto"/>
            <w:shd w:val="clear" w:color="auto" w:fill="auto"/>
            <w:tcMar>
              <w:top w:w="150" w:type="dxa"/>
              <w:left w:w="0" w:type="dxa"/>
              <w:bottom w:w="150" w:type="dxa"/>
              <w:right w:w="240" w:type="dxa"/>
            </w:tcMar>
            <w:vAlign w:val="center"/>
          </w:tcPr>
          <w:p w14:paraId="3104A0F9">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1.3.2</w:t>
            </w:r>
          </w:p>
        </w:tc>
        <w:tc>
          <w:tcPr>
            <w:tcW w:w="0" w:type="auto"/>
            <w:shd w:val="clear" w:color="auto" w:fill="auto"/>
            <w:tcMar>
              <w:top w:w="150" w:type="dxa"/>
              <w:left w:w="240" w:type="dxa"/>
              <w:bottom w:w="150" w:type="dxa"/>
              <w:right w:w="240" w:type="dxa"/>
            </w:tcMar>
            <w:vAlign w:val="center"/>
          </w:tcPr>
          <w:p w14:paraId="20E590D3">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工期/供货期要求</w:t>
            </w:r>
          </w:p>
        </w:tc>
        <w:tc>
          <w:tcPr>
            <w:tcW w:w="3368" w:type="dxa"/>
            <w:shd w:val="clear" w:color="auto" w:fill="auto"/>
            <w:tcMar>
              <w:top w:w="150" w:type="dxa"/>
              <w:left w:w="240" w:type="dxa"/>
              <w:bottom w:w="150" w:type="dxa"/>
              <w:right w:w="240" w:type="dxa"/>
            </w:tcMar>
            <w:vAlign w:val="center"/>
          </w:tcPr>
          <w:p w14:paraId="53595C06">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严格按照B包施工节点供货：</w:t>
            </w:r>
            <w:r>
              <w:rPr>
                <w:rFonts w:hint="eastAsia" w:ascii="黑体" w:hAnsi="黑体" w:eastAsia="黑体" w:cs="黑体"/>
                <w:color w:val="0F1115"/>
                <w:sz w:val="21"/>
                <w:szCs w:val="21"/>
                <w:shd w:val="clear" w:color="auto" w:fill="FFFFFF"/>
              </w:rPr>
              <w:br w:type="textWrapping"/>
            </w:r>
            <w:r>
              <w:rPr>
                <w:rFonts w:hint="eastAsia" w:ascii="黑体" w:hAnsi="黑体" w:eastAsia="黑体" w:cs="黑体"/>
                <w:color w:val="0F1115"/>
                <w:sz w:val="21"/>
                <w:szCs w:val="21"/>
                <w:shd w:val="clear" w:color="auto" w:fill="FFFFFF"/>
              </w:rPr>
              <w:t>2026年2月24日至27日按日计划供应面层沥青混合料及粘层乳化沥青。</w:t>
            </w:r>
          </w:p>
        </w:tc>
        <w:tc>
          <w:tcPr>
            <w:tcW w:w="3077" w:type="dxa"/>
            <w:shd w:val="clear" w:color="auto" w:fill="auto"/>
            <w:tcMar>
              <w:top w:w="150" w:type="dxa"/>
              <w:left w:w="240" w:type="dxa"/>
              <w:bottom w:w="150" w:type="dxa"/>
              <w:right w:w="0" w:type="dxa"/>
            </w:tcMar>
            <w:vAlign w:val="center"/>
          </w:tcPr>
          <w:p w14:paraId="5CEDB4D7">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强制性工期节点：</w:t>
            </w:r>
            <w:r>
              <w:rPr>
                <w:rFonts w:hint="eastAsia" w:ascii="黑体" w:hAnsi="黑体" w:eastAsia="黑体" w:cs="黑体"/>
                <w:color w:val="0F1115"/>
                <w:sz w:val="21"/>
                <w:szCs w:val="21"/>
                <w:shd w:val="clear" w:color="auto" w:fill="FFFFFF"/>
              </w:rPr>
              <w:br w:type="textWrapping"/>
            </w:r>
            <w:r>
              <w:rPr>
                <w:rFonts w:hint="eastAsia" w:ascii="黑体" w:hAnsi="黑体" w:eastAsia="黑体" w:cs="黑体"/>
                <w:color w:val="0F1115"/>
                <w:sz w:val="21"/>
                <w:szCs w:val="21"/>
                <w:shd w:val="clear" w:color="auto" w:fill="FFFFFF"/>
              </w:rPr>
              <w:t>第一阶段（基层）：2026年2月13日至14日，完成水稳层铺设养护。</w:t>
            </w:r>
            <w:r>
              <w:rPr>
                <w:rFonts w:hint="eastAsia" w:ascii="黑体" w:hAnsi="黑体" w:eastAsia="黑体" w:cs="黑体"/>
                <w:color w:val="0F1115"/>
                <w:sz w:val="21"/>
                <w:szCs w:val="21"/>
                <w:shd w:val="clear" w:color="auto" w:fill="FFFFFF"/>
              </w:rPr>
              <w:br w:type="textWrapping"/>
            </w:r>
            <w:r>
              <w:rPr>
                <w:rFonts w:hint="eastAsia" w:ascii="黑体" w:hAnsi="黑体" w:eastAsia="黑体" w:cs="黑体"/>
                <w:color w:val="0F1115"/>
                <w:sz w:val="21"/>
                <w:szCs w:val="21"/>
                <w:shd w:val="clear" w:color="auto" w:fill="FFFFFF"/>
              </w:rPr>
              <w:t>第二阶段（面层）：2026年2月24日至27日，完成铣刨及沥青面层摊铺压实。</w:t>
            </w:r>
            <w:r>
              <w:rPr>
                <w:rFonts w:hint="eastAsia" w:ascii="黑体" w:hAnsi="黑体" w:eastAsia="黑体" w:cs="黑体"/>
                <w:color w:val="0F1115"/>
                <w:sz w:val="21"/>
                <w:szCs w:val="21"/>
                <w:shd w:val="clear" w:color="auto" w:fill="FFFFFF"/>
              </w:rPr>
              <w:br w:type="textWrapping"/>
            </w:r>
            <w:r>
              <w:rPr>
                <w:rFonts w:hint="eastAsia" w:ascii="黑体" w:hAnsi="黑体" w:eastAsia="黑体" w:cs="黑体"/>
                <w:color w:val="0F1115"/>
                <w:sz w:val="21"/>
                <w:szCs w:val="21"/>
                <w:shd w:val="clear" w:color="auto" w:fill="FFFFFF"/>
              </w:rPr>
              <w:t>总工期：6个日历日，2026年2月28日前全面完工通车。</w:t>
            </w:r>
          </w:p>
        </w:tc>
      </w:tr>
      <w:tr w14:paraId="7EAFA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07" w:hRule="exact"/>
        </w:trPr>
        <w:tc>
          <w:tcPr>
            <w:tcW w:w="0" w:type="auto"/>
            <w:shd w:val="clear" w:color="auto" w:fill="auto"/>
            <w:tcMar>
              <w:top w:w="150" w:type="dxa"/>
              <w:left w:w="0" w:type="dxa"/>
              <w:bottom w:w="150" w:type="dxa"/>
              <w:right w:w="240" w:type="dxa"/>
            </w:tcMar>
            <w:vAlign w:val="center"/>
          </w:tcPr>
          <w:p w14:paraId="4D1B7636">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1.3.3</w:t>
            </w:r>
          </w:p>
        </w:tc>
        <w:tc>
          <w:tcPr>
            <w:tcW w:w="0" w:type="auto"/>
            <w:shd w:val="clear" w:color="auto" w:fill="auto"/>
            <w:tcMar>
              <w:top w:w="150" w:type="dxa"/>
              <w:left w:w="240" w:type="dxa"/>
              <w:bottom w:w="150" w:type="dxa"/>
              <w:right w:w="240" w:type="dxa"/>
            </w:tcMar>
            <w:vAlign w:val="center"/>
          </w:tcPr>
          <w:p w14:paraId="031F415E">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质量要求</w:t>
            </w:r>
          </w:p>
        </w:tc>
        <w:tc>
          <w:tcPr>
            <w:tcW w:w="3368" w:type="dxa"/>
            <w:shd w:val="clear" w:color="auto" w:fill="auto"/>
            <w:tcMar>
              <w:top w:w="150" w:type="dxa"/>
              <w:left w:w="240" w:type="dxa"/>
              <w:bottom w:w="150" w:type="dxa"/>
              <w:right w:w="240" w:type="dxa"/>
            </w:tcMar>
            <w:vAlign w:val="center"/>
          </w:tcPr>
          <w:p w14:paraId="21C4E415">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符合国家及行业最新标准，满足招标文件第五章全部技术要求，严禁使用回收料。</w:t>
            </w:r>
          </w:p>
        </w:tc>
        <w:tc>
          <w:tcPr>
            <w:tcW w:w="3077" w:type="dxa"/>
            <w:shd w:val="clear" w:color="auto" w:fill="auto"/>
            <w:tcMar>
              <w:top w:w="150" w:type="dxa"/>
              <w:left w:w="240" w:type="dxa"/>
              <w:bottom w:w="150" w:type="dxa"/>
              <w:right w:w="0" w:type="dxa"/>
            </w:tcMar>
            <w:vAlign w:val="center"/>
          </w:tcPr>
          <w:p w14:paraId="6984A6C9">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符合工程施工质量验收标准及现行相关规范规程，达到合格质量标准。</w:t>
            </w:r>
          </w:p>
        </w:tc>
      </w:tr>
      <w:tr w14:paraId="0D15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89" w:hRule="exact"/>
        </w:trPr>
        <w:tc>
          <w:tcPr>
            <w:tcW w:w="0" w:type="auto"/>
            <w:shd w:val="clear" w:color="auto" w:fill="auto"/>
            <w:tcMar>
              <w:top w:w="150" w:type="dxa"/>
              <w:left w:w="0" w:type="dxa"/>
              <w:bottom w:w="150" w:type="dxa"/>
              <w:right w:w="240" w:type="dxa"/>
            </w:tcMar>
            <w:vAlign w:val="center"/>
          </w:tcPr>
          <w:p w14:paraId="56424F3C">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1.3.4</w:t>
            </w:r>
          </w:p>
        </w:tc>
        <w:tc>
          <w:tcPr>
            <w:tcW w:w="0" w:type="auto"/>
            <w:shd w:val="clear" w:color="auto" w:fill="auto"/>
            <w:tcMar>
              <w:top w:w="150" w:type="dxa"/>
              <w:left w:w="240" w:type="dxa"/>
              <w:bottom w:w="150" w:type="dxa"/>
              <w:right w:w="240" w:type="dxa"/>
            </w:tcMar>
            <w:vAlign w:val="center"/>
          </w:tcPr>
          <w:p w14:paraId="3F7F809C">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材料质量要求</w:t>
            </w:r>
          </w:p>
        </w:tc>
        <w:tc>
          <w:tcPr>
            <w:tcW w:w="3368" w:type="dxa"/>
            <w:shd w:val="clear" w:color="auto" w:fill="auto"/>
            <w:tcMar>
              <w:top w:w="150" w:type="dxa"/>
              <w:left w:w="240" w:type="dxa"/>
              <w:bottom w:w="150" w:type="dxa"/>
              <w:right w:w="240" w:type="dxa"/>
            </w:tcMar>
            <w:vAlign w:val="center"/>
          </w:tcPr>
          <w:p w14:paraId="0E62394B">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必须满足招标公告及第五章中所有关于沥青混合料的技术指标、供应商资格与保障能力要求。</w:t>
            </w:r>
          </w:p>
        </w:tc>
        <w:tc>
          <w:tcPr>
            <w:tcW w:w="3077" w:type="dxa"/>
            <w:shd w:val="clear" w:color="auto" w:fill="auto"/>
            <w:tcMar>
              <w:top w:w="150" w:type="dxa"/>
              <w:left w:w="240" w:type="dxa"/>
              <w:bottom w:w="150" w:type="dxa"/>
              <w:right w:w="0" w:type="dxa"/>
            </w:tcMar>
            <w:vAlign w:val="center"/>
          </w:tcPr>
          <w:p w14:paraId="4CBBD51B">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施工中使用的所有材料（含甲供料）均需符合设计及规范要求。对甲供（A包）沥青混合料负责现场验收配合。</w:t>
            </w:r>
          </w:p>
        </w:tc>
      </w:tr>
      <w:tr w14:paraId="4940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43" w:hRule="exact"/>
        </w:trPr>
        <w:tc>
          <w:tcPr>
            <w:tcW w:w="0" w:type="auto"/>
            <w:shd w:val="clear" w:color="auto" w:fill="auto"/>
            <w:tcMar>
              <w:top w:w="150" w:type="dxa"/>
              <w:left w:w="0" w:type="dxa"/>
              <w:bottom w:w="150" w:type="dxa"/>
              <w:right w:w="240" w:type="dxa"/>
            </w:tcMar>
            <w:vAlign w:val="center"/>
          </w:tcPr>
          <w:p w14:paraId="6C80C7AD">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1.3.5</w:t>
            </w:r>
          </w:p>
        </w:tc>
        <w:tc>
          <w:tcPr>
            <w:tcW w:w="0" w:type="auto"/>
            <w:shd w:val="clear" w:color="auto" w:fill="auto"/>
            <w:tcMar>
              <w:top w:w="150" w:type="dxa"/>
              <w:left w:w="240" w:type="dxa"/>
              <w:bottom w:w="150" w:type="dxa"/>
              <w:right w:w="240" w:type="dxa"/>
            </w:tcMar>
            <w:vAlign w:val="center"/>
          </w:tcPr>
          <w:p w14:paraId="615D2AD6">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质量缺陷修复期/质保期</w:t>
            </w:r>
          </w:p>
        </w:tc>
        <w:tc>
          <w:tcPr>
            <w:tcW w:w="3368" w:type="dxa"/>
            <w:shd w:val="clear" w:color="auto" w:fill="auto"/>
            <w:tcMar>
              <w:top w:w="150" w:type="dxa"/>
              <w:left w:w="240" w:type="dxa"/>
              <w:bottom w:w="150" w:type="dxa"/>
              <w:right w:w="240" w:type="dxa"/>
            </w:tcMar>
            <w:vAlign w:val="center"/>
          </w:tcPr>
          <w:p w14:paraId="6DDFE158">
            <w:pPr>
              <w:pStyle w:val="16"/>
              <w:widowControl/>
              <w:jc w:val="both"/>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本工程质量缺陷修复期为</w:t>
            </w:r>
            <w:r>
              <w:rPr>
                <w:rFonts w:hint="eastAsia" w:ascii="黑体" w:hAnsi="黑体" w:eastAsia="黑体" w:cs="黑体"/>
                <w:color w:val="0F1115"/>
                <w:sz w:val="21"/>
                <w:szCs w:val="21"/>
                <w:shd w:val="clear" w:color="auto" w:fill="FFFFFF"/>
                <w:lang w:val="en-US" w:eastAsia="zh-CN"/>
              </w:rPr>
              <w:t>12</w:t>
            </w:r>
            <w:r>
              <w:rPr>
                <w:rFonts w:hint="eastAsia" w:ascii="黑体" w:hAnsi="黑体" w:eastAsia="黑体" w:cs="黑体"/>
                <w:color w:val="0F1115"/>
                <w:sz w:val="21"/>
                <w:szCs w:val="21"/>
                <w:shd w:val="clear" w:color="auto" w:fill="FFFFFF"/>
              </w:rPr>
              <w:t>个月，自</w:t>
            </w:r>
            <w:r>
              <w:rPr>
                <w:rFonts w:hint="eastAsia" w:ascii="黑体" w:hAnsi="黑体" w:eastAsia="黑体" w:cs="黑体"/>
                <w:color w:val="0F1115"/>
                <w:sz w:val="21"/>
                <w:szCs w:val="21"/>
                <w:shd w:val="clear" w:color="auto" w:fill="FFFFFF"/>
                <w:lang w:val="en-US" w:eastAsia="zh-CN"/>
              </w:rPr>
              <w:t>双方验收合格及办理手续完成</w:t>
            </w:r>
            <w:r>
              <w:rPr>
                <w:rFonts w:hint="eastAsia" w:ascii="黑体" w:hAnsi="黑体" w:eastAsia="黑体" w:cs="黑体"/>
                <w:color w:val="0F1115"/>
                <w:sz w:val="21"/>
                <w:szCs w:val="21"/>
                <w:shd w:val="clear" w:color="auto" w:fill="FFFFFF"/>
              </w:rPr>
              <w:t>之日起计算。</w:t>
            </w:r>
          </w:p>
        </w:tc>
        <w:tc>
          <w:tcPr>
            <w:tcW w:w="3077" w:type="dxa"/>
            <w:shd w:val="clear" w:color="auto" w:fill="auto"/>
            <w:tcMar>
              <w:top w:w="150" w:type="dxa"/>
              <w:left w:w="240" w:type="dxa"/>
              <w:bottom w:w="150" w:type="dxa"/>
              <w:right w:w="0" w:type="dxa"/>
            </w:tcMar>
            <w:vAlign w:val="center"/>
          </w:tcPr>
          <w:p w14:paraId="1E49F932">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工程质量缺陷修复期为24个月，自签发竣工验收合格之日起计算。</w:t>
            </w:r>
          </w:p>
        </w:tc>
      </w:tr>
      <w:tr w14:paraId="5DFA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03" w:hRule="exact"/>
        </w:trPr>
        <w:tc>
          <w:tcPr>
            <w:tcW w:w="0" w:type="auto"/>
            <w:shd w:val="clear" w:color="auto" w:fill="auto"/>
            <w:tcMar>
              <w:top w:w="150" w:type="dxa"/>
              <w:left w:w="0" w:type="dxa"/>
              <w:bottom w:w="150" w:type="dxa"/>
              <w:right w:w="240" w:type="dxa"/>
            </w:tcMar>
            <w:vAlign w:val="center"/>
          </w:tcPr>
          <w:p w14:paraId="3A1788C8">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1.4.1</w:t>
            </w:r>
          </w:p>
        </w:tc>
        <w:tc>
          <w:tcPr>
            <w:tcW w:w="0" w:type="auto"/>
            <w:shd w:val="clear" w:color="auto" w:fill="auto"/>
            <w:tcMar>
              <w:top w:w="150" w:type="dxa"/>
              <w:left w:w="240" w:type="dxa"/>
              <w:bottom w:w="150" w:type="dxa"/>
              <w:right w:w="240" w:type="dxa"/>
            </w:tcMar>
            <w:vAlign w:val="center"/>
          </w:tcPr>
          <w:p w14:paraId="2C90B259">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投标人资质条件、能力和信誉</w:t>
            </w:r>
          </w:p>
        </w:tc>
        <w:tc>
          <w:tcPr>
            <w:tcW w:w="3368" w:type="dxa"/>
            <w:shd w:val="clear" w:color="auto" w:fill="auto"/>
            <w:tcMar>
              <w:top w:w="150" w:type="dxa"/>
              <w:left w:w="240" w:type="dxa"/>
              <w:bottom w:w="150" w:type="dxa"/>
              <w:right w:w="240" w:type="dxa"/>
            </w:tcMar>
            <w:vAlign w:val="center"/>
          </w:tcPr>
          <w:p w14:paraId="6DD10C5A">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详见招标公告“A包投标人专项资格要求”。</w:t>
            </w:r>
          </w:p>
        </w:tc>
        <w:tc>
          <w:tcPr>
            <w:tcW w:w="3077" w:type="dxa"/>
            <w:shd w:val="clear" w:color="auto" w:fill="auto"/>
            <w:tcMar>
              <w:top w:w="150" w:type="dxa"/>
              <w:left w:w="240" w:type="dxa"/>
              <w:bottom w:w="150" w:type="dxa"/>
              <w:right w:w="0" w:type="dxa"/>
            </w:tcMar>
            <w:vAlign w:val="center"/>
          </w:tcPr>
          <w:p w14:paraId="6EBF91CE">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详见招标公告“B包投标人专项资格要求”。</w:t>
            </w:r>
          </w:p>
        </w:tc>
      </w:tr>
      <w:tr w14:paraId="68F3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11" w:hRule="exact"/>
        </w:trPr>
        <w:tc>
          <w:tcPr>
            <w:tcW w:w="0" w:type="auto"/>
            <w:shd w:val="clear" w:color="auto" w:fill="auto"/>
            <w:tcMar>
              <w:top w:w="150" w:type="dxa"/>
              <w:left w:w="0" w:type="dxa"/>
              <w:bottom w:w="150" w:type="dxa"/>
              <w:right w:w="240" w:type="dxa"/>
            </w:tcMar>
            <w:vAlign w:val="center"/>
          </w:tcPr>
          <w:p w14:paraId="41D59C2A">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1.4.2</w:t>
            </w:r>
          </w:p>
        </w:tc>
        <w:tc>
          <w:tcPr>
            <w:tcW w:w="0" w:type="auto"/>
            <w:shd w:val="clear" w:color="auto" w:fill="auto"/>
            <w:tcMar>
              <w:top w:w="150" w:type="dxa"/>
              <w:left w:w="240" w:type="dxa"/>
              <w:bottom w:w="150" w:type="dxa"/>
              <w:right w:w="240" w:type="dxa"/>
            </w:tcMar>
            <w:vAlign w:val="center"/>
          </w:tcPr>
          <w:p w14:paraId="3C463031">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是否接受联合体投标</w:t>
            </w:r>
          </w:p>
        </w:tc>
        <w:tc>
          <w:tcPr>
            <w:tcW w:w="3368" w:type="dxa"/>
            <w:shd w:val="clear" w:color="auto" w:fill="auto"/>
            <w:tcMar>
              <w:top w:w="150" w:type="dxa"/>
              <w:left w:w="240" w:type="dxa"/>
              <w:bottom w:w="150" w:type="dxa"/>
              <w:right w:w="240" w:type="dxa"/>
            </w:tcMar>
            <w:vAlign w:val="center"/>
          </w:tcPr>
          <w:p w14:paraId="0AB94355">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不接受</w:t>
            </w:r>
          </w:p>
        </w:tc>
        <w:tc>
          <w:tcPr>
            <w:tcW w:w="3077" w:type="dxa"/>
            <w:shd w:val="clear" w:color="auto" w:fill="auto"/>
            <w:tcMar>
              <w:top w:w="150" w:type="dxa"/>
              <w:left w:w="240" w:type="dxa"/>
              <w:bottom w:w="150" w:type="dxa"/>
              <w:right w:w="0" w:type="dxa"/>
            </w:tcMar>
            <w:vAlign w:val="center"/>
          </w:tcPr>
          <w:p w14:paraId="3162C3C5">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不接受</w:t>
            </w:r>
          </w:p>
        </w:tc>
      </w:tr>
      <w:tr w14:paraId="057E7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0" w:hRule="exact"/>
        </w:trPr>
        <w:tc>
          <w:tcPr>
            <w:tcW w:w="0" w:type="auto"/>
            <w:shd w:val="clear" w:color="auto" w:fill="auto"/>
            <w:tcMar>
              <w:top w:w="150" w:type="dxa"/>
              <w:left w:w="0" w:type="dxa"/>
              <w:bottom w:w="150" w:type="dxa"/>
              <w:right w:w="240" w:type="dxa"/>
            </w:tcMar>
            <w:vAlign w:val="center"/>
          </w:tcPr>
          <w:p w14:paraId="65C1CE61">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1.4.3</w:t>
            </w:r>
          </w:p>
        </w:tc>
        <w:tc>
          <w:tcPr>
            <w:tcW w:w="0" w:type="auto"/>
            <w:shd w:val="clear" w:color="auto" w:fill="auto"/>
            <w:tcMar>
              <w:top w:w="150" w:type="dxa"/>
              <w:left w:w="240" w:type="dxa"/>
              <w:bottom w:w="150" w:type="dxa"/>
              <w:right w:w="240" w:type="dxa"/>
            </w:tcMar>
            <w:vAlign w:val="center"/>
          </w:tcPr>
          <w:p w14:paraId="67B253CC">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踏勘现场</w:t>
            </w:r>
          </w:p>
        </w:tc>
        <w:tc>
          <w:tcPr>
            <w:tcW w:w="3368" w:type="dxa"/>
            <w:shd w:val="clear" w:color="auto" w:fill="auto"/>
            <w:tcMar>
              <w:top w:w="150" w:type="dxa"/>
              <w:left w:w="240" w:type="dxa"/>
              <w:bottom w:w="150" w:type="dxa"/>
              <w:right w:w="240" w:type="dxa"/>
            </w:tcMar>
            <w:vAlign w:val="center"/>
          </w:tcPr>
          <w:p w14:paraId="5B606EC1">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不组织统一踏勘现场，建议自行踏勘供货路线及现场条件。</w:t>
            </w:r>
          </w:p>
        </w:tc>
        <w:tc>
          <w:tcPr>
            <w:tcW w:w="3077" w:type="dxa"/>
            <w:shd w:val="clear" w:color="auto" w:fill="auto"/>
            <w:tcMar>
              <w:top w:w="150" w:type="dxa"/>
              <w:left w:w="240" w:type="dxa"/>
              <w:bottom w:w="150" w:type="dxa"/>
              <w:right w:w="0" w:type="dxa"/>
            </w:tcMar>
            <w:vAlign w:val="center"/>
          </w:tcPr>
          <w:p w14:paraId="3FF731D1">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不组织统一踏勘现场，建议自行踏勘了解现场施工条件。</w:t>
            </w:r>
          </w:p>
        </w:tc>
      </w:tr>
      <w:tr w14:paraId="31CD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03" w:hRule="exact"/>
        </w:trPr>
        <w:tc>
          <w:tcPr>
            <w:tcW w:w="0" w:type="auto"/>
            <w:shd w:val="clear" w:color="auto" w:fill="auto"/>
            <w:tcMar>
              <w:top w:w="150" w:type="dxa"/>
              <w:left w:w="0" w:type="dxa"/>
              <w:bottom w:w="150" w:type="dxa"/>
              <w:right w:w="240" w:type="dxa"/>
            </w:tcMar>
            <w:vAlign w:val="center"/>
          </w:tcPr>
          <w:p w14:paraId="0461BC26">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2.2.1</w:t>
            </w:r>
          </w:p>
        </w:tc>
        <w:tc>
          <w:tcPr>
            <w:tcW w:w="0" w:type="auto"/>
            <w:shd w:val="clear" w:color="auto" w:fill="auto"/>
            <w:tcMar>
              <w:top w:w="150" w:type="dxa"/>
              <w:left w:w="240" w:type="dxa"/>
              <w:bottom w:w="150" w:type="dxa"/>
              <w:right w:w="240" w:type="dxa"/>
            </w:tcMar>
            <w:vAlign w:val="center"/>
          </w:tcPr>
          <w:p w14:paraId="6B2465D1">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招标文件的澄清</w:t>
            </w:r>
          </w:p>
        </w:tc>
        <w:tc>
          <w:tcPr>
            <w:tcW w:w="3368" w:type="dxa"/>
            <w:shd w:val="clear" w:color="auto" w:fill="auto"/>
            <w:tcMar>
              <w:top w:w="150" w:type="dxa"/>
              <w:left w:w="240" w:type="dxa"/>
              <w:bottom w:w="150" w:type="dxa"/>
              <w:right w:w="240" w:type="dxa"/>
            </w:tcMar>
            <w:vAlign w:val="center"/>
          </w:tcPr>
          <w:p w14:paraId="0794274C">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澄清截止时</w:t>
            </w:r>
            <w:r>
              <w:rPr>
                <w:rFonts w:hint="eastAsia" w:ascii="黑体" w:hAnsi="黑体" w:eastAsia="黑体" w:cs="黑体"/>
                <w:color w:val="0F1115"/>
                <w:sz w:val="21"/>
                <w:szCs w:val="21"/>
                <w:highlight w:val="none"/>
                <w:shd w:val="clear" w:color="auto" w:fill="FFFFFF"/>
              </w:rPr>
              <w:t>间为</w:t>
            </w:r>
            <w:r>
              <w:rPr>
                <w:rFonts w:hint="eastAsia" w:ascii="黑体" w:hAnsi="黑体" w:eastAsia="黑体" w:cs="黑体"/>
                <w:color w:val="0F1115"/>
                <w:sz w:val="21"/>
                <w:szCs w:val="21"/>
                <w:highlight w:val="none"/>
                <w:shd w:val="clear" w:color="auto" w:fill="FFFFFF"/>
                <w:lang w:val="en-US" w:eastAsia="zh-CN"/>
              </w:rPr>
              <w:t>2026</w:t>
            </w:r>
            <w:r>
              <w:rPr>
                <w:rFonts w:hint="eastAsia" w:ascii="黑体" w:hAnsi="黑体" w:eastAsia="黑体" w:cs="黑体"/>
                <w:color w:val="0F1115"/>
                <w:sz w:val="21"/>
                <w:szCs w:val="21"/>
                <w:highlight w:val="none"/>
                <w:shd w:val="clear" w:color="auto" w:fill="FFFFFF"/>
              </w:rPr>
              <w:t>年</w:t>
            </w:r>
            <w:r>
              <w:rPr>
                <w:rFonts w:hint="eastAsia" w:ascii="黑体" w:hAnsi="黑体" w:eastAsia="黑体" w:cs="黑体"/>
                <w:color w:val="0F1115"/>
                <w:sz w:val="21"/>
                <w:szCs w:val="21"/>
                <w:highlight w:val="none"/>
                <w:shd w:val="clear" w:color="auto" w:fill="FFFFFF"/>
                <w:lang w:val="en-US" w:eastAsia="zh-CN"/>
              </w:rPr>
              <w:t>2</w:t>
            </w:r>
            <w:r>
              <w:rPr>
                <w:rFonts w:hint="eastAsia" w:ascii="黑体" w:hAnsi="黑体" w:eastAsia="黑体" w:cs="黑体"/>
                <w:color w:val="0F1115"/>
                <w:sz w:val="21"/>
                <w:szCs w:val="21"/>
                <w:highlight w:val="none"/>
                <w:shd w:val="clear" w:color="auto" w:fill="FFFFFF"/>
              </w:rPr>
              <w:t>月</w:t>
            </w:r>
            <w:r>
              <w:rPr>
                <w:rFonts w:hint="eastAsia" w:ascii="黑体" w:hAnsi="黑体" w:eastAsia="黑体" w:cs="黑体"/>
                <w:color w:val="0F1115"/>
                <w:sz w:val="21"/>
                <w:szCs w:val="21"/>
                <w:highlight w:val="none"/>
                <w:shd w:val="clear" w:color="auto" w:fill="FFFFFF"/>
                <w:lang w:val="en-US" w:eastAsia="zh-CN"/>
              </w:rPr>
              <w:t>2</w:t>
            </w:r>
            <w:r>
              <w:rPr>
                <w:rFonts w:hint="eastAsia" w:ascii="黑体" w:hAnsi="黑体" w:eastAsia="黑体" w:cs="黑体"/>
                <w:color w:val="0F1115"/>
                <w:sz w:val="21"/>
                <w:szCs w:val="21"/>
                <w:highlight w:val="none"/>
                <w:shd w:val="clear" w:color="auto" w:fill="FFFFFF"/>
              </w:rPr>
              <w:t>日。澄清</w:t>
            </w:r>
            <w:r>
              <w:rPr>
                <w:rFonts w:hint="eastAsia" w:ascii="黑体" w:hAnsi="黑体" w:eastAsia="黑体" w:cs="黑体"/>
                <w:color w:val="0F1115"/>
                <w:sz w:val="21"/>
                <w:szCs w:val="21"/>
                <w:shd w:val="clear" w:color="auto" w:fill="FFFFFF"/>
              </w:rPr>
              <w:t>文件在济钢集团有限公司阳光购销平台发布。</w:t>
            </w:r>
          </w:p>
        </w:tc>
        <w:tc>
          <w:tcPr>
            <w:tcW w:w="3077" w:type="dxa"/>
            <w:shd w:val="clear" w:color="auto" w:fill="auto"/>
            <w:tcMar>
              <w:top w:w="150" w:type="dxa"/>
              <w:left w:w="240" w:type="dxa"/>
              <w:bottom w:w="150" w:type="dxa"/>
              <w:right w:w="0" w:type="dxa"/>
            </w:tcMar>
            <w:vAlign w:val="center"/>
          </w:tcPr>
          <w:p w14:paraId="73E27EF3">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澄清截止时</w:t>
            </w:r>
            <w:r>
              <w:rPr>
                <w:rFonts w:hint="eastAsia" w:ascii="黑体" w:hAnsi="黑体" w:eastAsia="黑体" w:cs="黑体"/>
                <w:color w:val="0F1115"/>
                <w:sz w:val="21"/>
                <w:szCs w:val="21"/>
                <w:highlight w:val="none"/>
                <w:shd w:val="clear" w:color="auto" w:fill="FFFFFF"/>
              </w:rPr>
              <w:t>间为</w:t>
            </w:r>
            <w:r>
              <w:rPr>
                <w:rFonts w:hint="eastAsia" w:ascii="黑体" w:hAnsi="黑体" w:eastAsia="黑体" w:cs="黑体"/>
                <w:color w:val="0F1115"/>
                <w:sz w:val="21"/>
                <w:szCs w:val="21"/>
                <w:highlight w:val="none"/>
                <w:shd w:val="clear" w:color="auto" w:fill="FFFFFF"/>
                <w:lang w:val="en-US" w:eastAsia="zh-CN"/>
              </w:rPr>
              <w:t>2026</w:t>
            </w:r>
            <w:r>
              <w:rPr>
                <w:rFonts w:hint="eastAsia" w:ascii="黑体" w:hAnsi="黑体" w:eastAsia="黑体" w:cs="黑体"/>
                <w:color w:val="0F1115"/>
                <w:sz w:val="21"/>
                <w:szCs w:val="21"/>
                <w:highlight w:val="none"/>
                <w:shd w:val="clear" w:color="auto" w:fill="FFFFFF"/>
              </w:rPr>
              <w:t>年</w:t>
            </w:r>
            <w:r>
              <w:rPr>
                <w:rFonts w:hint="eastAsia" w:ascii="黑体" w:hAnsi="黑体" w:eastAsia="黑体" w:cs="黑体"/>
                <w:color w:val="0F1115"/>
                <w:sz w:val="21"/>
                <w:szCs w:val="21"/>
                <w:highlight w:val="none"/>
                <w:shd w:val="clear" w:color="auto" w:fill="FFFFFF"/>
                <w:lang w:val="en-US" w:eastAsia="zh-CN"/>
              </w:rPr>
              <w:t>2</w:t>
            </w:r>
            <w:r>
              <w:rPr>
                <w:rFonts w:hint="eastAsia" w:ascii="黑体" w:hAnsi="黑体" w:eastAsia="黑体" w:cs="黑体"/>
                <w:color w:val="0F1115"/>
                <w:sz w:val="21"/>
                <w:szCs w:val="21"/>
                <w:highlight w:val="none"/>
                <w:shd w:val="clear" w:color="auto" w:fill="FFFFFF"/>
              </w:rPr>
              <w:t>月</w:t>
            </w:r>
            <w:r>
              <w:rPr>
                <w:rFonts w:hint="eastAsia" w:ascii="黑体" w:hAnsi="黑体" w:eastAsia="黑体" w:cs="黑体"/>
                <w:color w:val="0F1115"/>
                <w:sz w:val="21"/>
                <w:szCs w:val="21"/>
                <w:highlight w:val="none"/>
                <w:shd w:val="clear" w:color="auto" w:fill="FFFFFF"/>
                <w:lang w:val="en-US" w:eastAsia="zh-CN"/>
              </w:rPr>
              <w:t>2</w:t>
            </w:r>
            <w:r>
              <w:rPr>
                <w:rFonts w:hint="eastAsia" w:ascii="黑体" w:hAnsi="黑体" w:eastAsia="黑体" w:cs="黑体"/>
                <w:color w:val="0F1115"/>
                <w:sz w:val="21"/>
                <w:szCs w:val="21"/>
                <w:highlight w:val="none"/>
                <w:shd w:val="clear" w:color="auto" w:fill="FFFFFF"/>
              </w:rPr>
              <w:t>日</w:t>
            </w:r>
            <w:r>
              <w:rPr>
                <w:rFonts w:hint="eastAsia" w:ascii="黑体" w:hAnsi="黑体" w:eastAsia="黑体" w:cs="黑体"/>
                <w:color w:val="0F1115"/>
                <w:sz w:val="21"/>
                <w:szCs w:val="21"/>
                <w:shd w:val="clear" w:color="auto" w:fill="FFFFFF"/>
              </w:rPr>
              <w:t>。澄清文件在济钢集团有限公司阳光购销平台发布。</w:t>
            </w:r>
          </w:p>
        </w:tc>
      </w:tr>
      <w:tr w14:paraId="7A6D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48" w:hRule="exact"/>
        </w:trPr>
        <w:tc>
          <w:tcPr>
            <w:tcW w:w="0" w:type="auto"/>
            <w:shd w:val="clear" w:color="auto" w:fill="auto"/>
            <w:tcMar>
              <w:top w:w="150" w:type="dxa"/>
              <w:left w:w="0" w:type="dxa"/>
              <w:bottom w:w="150" w:type="dxa"/>
              <w:right w:w="240" w:type="dxa"/>
            </w:tcMar>
            <w:vAlign w:val="center"/>
          </w:tcPr>
          <w:p w14:paraId="372BC2FB">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2.2.2</w:t>
            </w:r>
          </w:p>
        </w:tc>
        <w:tc>
          <w:tcPr>
            <w:tcW w:w="0" w:type="auto"/>
            <w:shd w:val="clear" w:color="auto" w:fill="auto"/>
            <w:tcMar>
              <w:top w:w="150" w:type="dxa"/>
              <w:left w:w="240" w:type="dxa"/>
              <w:bottom w:w="150" w:type="dxa"/>
              <w:right w:w="240" w:type="dxa"/>
            </w:tcMar>
            <w:vAlign w:val="center"/>
          </w:tcPr>
          <w:p w14:paraId="121DEA4E">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招标文件澄清发出的形式</w:t>
            </w:r>
          </w:p>
        </w:tc>
        <w:tc>
          <w:tcPr>
            <w:tcW w:w="3368" w:type="dxa"/>
            <w:shd w:val="clear" w:color="auto" w:fill="auto"/>
            <w:tcMar>
              <w:top w:w="150" w:type="dxa"/>
              <w:left w:w="240" w:type="dxa"/>
              <w:bottom w:w="150" w:type="dxa"/>
              <w:right w:w="240" w:type="dxa"/>
            </w:tcMar>
            <w:vAlign w:val="center"/>
          </w:tcPr>
          <w:p w14:paraId="4F6FBA6C">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招标系统书面发出</w:t>
            </w:r>
          </w:p>
        </w:tc>
        <w:tc>
          <w:tcPr>
            <w:tcW w:w="3077" w:type="dxa"/>
            <w:shd w:val="clear" w:color="auto" w:fill="auto"/>
            <w:tcMar>
              <w:top w:w="150" w:type="dxa"/>
              <w:left w:w="240" w:type="dxa"/>
              <w:bottom w:w="150" w:type="dxa"/>
              <w:right w:w="0" w:type="dxa"/>
            </w:tcMar>
            <w:vAlign w:val="center"/>
          </w:tcPr>
          <w:p w14:paraId="2C746F56">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招标系统书面发出</w:t>
            </w:r>
          </w:p>
        </w:tc>
      </w:tr>
      <w:tr w14:paraId="1561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0" w:hRule="exact"/>
        </w:trPr>
        <w:tc>
          <w:tcPr>
            <w:tcW w:w="0" w:type="auto"/>
            <w:shd w:val="clear" w:color="auto" w:fill="auto"/>
            <w:tcMar>
              <w:top w:w="150" w:type="dxa"/>
              <w:left w:w="0" w:type="dxa"/>
              <w:bottom w:w="150" w:type="dxa"/>
              <w:right w:w="240" w:type="dxa"/>
            </w:tcMar>
            <w:vAlign w:val="center"/>
          </w:tcPr>
          <w:p w14:paraId="025C5666">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3.3.1</w:t>
            </w:r>
          </w:p>
        </w:tc>
        <w:tc>
          <w:tcPr>
            <w:tcW w:w="0" w:type="auto"/>
            <w:shd w:val="clear" w:color="auto" w:fill="auto"/>
            <w:tcMar>
              <w:top w:w="150" w:type="dxa"/>
              <w:left w:w="240" w:type="dxa"/>
              <w:bottom w:w="150" w:type="dxa"/>
              <w:right w:w="240" w:type="dxa"/>
            </w:tcMar>
            <w:vAlign w:val="center"/>
          </w:tcPr>
          <w:p w14:paraId="79205374">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投标有效期</w:t>
            </w:r>
          </w:p>
        </w:tc>
        <w:tc>
          <w:tcPr>
            <w:tcW w:w="3368" w:type="dxa"/>
            <w:shd w:val="clear" w:color="auto" w:fill="auto"/>
            <w:tcMar>
              <w:top w:w="150" w:type="dxa"/>
              <w:left w:w="240" w:type="dxa"/>
              <w:bottom w:w="150" w:type="dxa"/>
              <w:right w:w="240" w:type="dxa"/>
            </w:tcMar>
            <w:vAlign w:val="center"/>
          </w:tcPr>
          <w:p w14:paraId="59474B58">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90天</w:t>
            </w:r>
          </w:p>
        </w:tc>
        <w:tc>
          <w:tcPr>
            <w:tcW w:w="3077" w:type="dxa"/>
            <w:shd w:val="clear" w:color="auto" w:fill="auto"/>
            <w:tcMar>
              <w:top w:w="150" w:type="dxa"/>
              <w:left w:w="240" w:type="dxa"/>
              <w:bottom w:w="150" w:type="dxa"/>
              <w:right w:w="0" w:type="dxa"/>
            </w:tcMar>
            <w:vAlign w:val="center"/>
          </w:tcPr>
          <w:p w14:paraId="26103180">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90天</w:t>
            </w:r>
          </w:p>
        </w:tc>
      </w:tr>
      <w:tr w14:paraId="4B00F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28" w:hRule="exact"/>
        </w:trPr>
        <w:tc>
          <w:tcPr>
            <w:tcW w:w="0" w:type="auto"/>
            <w:shd w:val="clear" w:color="auto" w:fill="auto"/>
            <w:tcMar>
              <w:top w:w="150" w:type="dxa"/>
              <w:left w:w="0" w:type="dxa"/>
              <w:bottom w:w="150" w:type="dxa"/>
              <w:right w:w="240" w:type="dxa"/>
            </w:tcMar>
            <w:vAlign w:val="center"/>
          </w:tcPr>
          <w:p w14:paraId="2C8C9AB8">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3.4.1</w:t>
            </w:r>
          </w:p>
        </w:tc>
        <w:tc>
          <w:tcPr>
            <w:tcW w:w="0" w:type="auto"/>
            <w:shd w:val="clear" w:color="auto" w:fill="auto"/>
            <w:tcMar>
              <w:top w:w="150" w:type="dxa"/>
              <w:left w:w="240" w:type="dxa"/>
              <w:bottom w:w="150" w:type="dxa"/>
              <w:right w:w="240" w:type="dxa"/>
            </w:tcMar>
            <w:vAlign w:val="center"/>
          </w:tcPr>
          <w:p w14:paraId="1FF7A74E">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投标保证金</w:t>
            </w:r>
          </w:p>
        </w:tc>
        <w:tc>
          <w:tcPr>
            <w:tcW w:w="3368" w:type="dxa"/>
            <w:shd w:val="clear" w:color="auto" w:fill="auto"/>
            <w:tcMar>
              <w:top w:w="150" w:type="dxa"/>
              <w:left w:w="240" w:type="dxa"/>
              <w:bottom w:w="150" w:type="dxa"/>
              <w:right w:w="240" w:type="dxa"/>
            </w:tcMar>
            <w:vAlign w:val="center"/>
          </w:tcPr>
          <w:p w14:paraId="1BD302D2">
            <w:pPr>
              <w:pStyle w:val="16"/>
              <w:widowControl/>
              <w:jc w:val="left"/>
              <w:rPr>
                <w:rFonts w:hint="eastAsia" w:ascii="黑体" w:hAnsi="黑体" w:eastAsia="黑体" w:cs="黑体"/>
                <w:color w:val="0F1115"/>
                <w:sz w:val="21"/>
                <w:szCs w:val="21"/>
                <w:shd w:val="clear" w:color="auto" w:fill="FFFFFF"/>
                <w:lang w:val="en-US" w:eastAsia="zh-CN"/>
              </w:rPr>
            </w:pPr>
            <w:r>
              <w:rPr>
                <w:rFonts w:hint="eastAsia" w:ascii="黑体" w:hAnsi="黑体" w:eastAsia="黑体" w:cs="黑体"/>
                <w:color w:val="0F1115"/>
                <w:sz w:val="21"/>
                <w:szCs w:val="21"/>
                <w:shd w:val="clear" w:color="auto" w:fill="FFFFFF"/>
                <w:lang w:val="en-US" w:eastAsia="zh-CN"/>
              </w:rPr>
              <w:t>无</w:t>
            </w:r>
          </w:p>
          <w:p w14:paraId="27DCF4BB">
            <w:pPr>
              <w:pStyle w:val="16"/>
              <w:widowControl/>
              <w:jc w:val="left"/>
              <w:rPr>
                <w:rFonts w:ascii="黑体" w:hAnsi="黑体" w:eastAsia="黑体" w:cs="黑体"/>
                <w:color w:val="0F1115"/>
                <w:sz w:val="21"/>
                <w:szCs w:val="21"/>
                <w:shd w:val="clear" w:color="auto" w:fill="FFFFFF"/>
              </w:rPr>
            </w:pPr>
          </w:p>
        </w:tc>
        <w:tc>
          <w:tcPr>
            <w:tcW w:w="3077" w:type="dxa"/>
            <w:shd w:val="clear" w:color="auto" w:fill="auto"/>
            <w:tcMar>
              <w:top w:w="150" w:type="dxa"/>
              <w:left w:w="240" w:type="dxa"/>
              <w:bottom w:w="150" w:type="dxa"/>
              <w:right w:w="0" w:type="dxa"/>
            </w:tcMar>
            <w:vAlign w:val="center"/>
          </w:tcPr>
          <w:p w14:paraId="4AF49C1B">
            <w:pPr>
              <w:pStyle w:val="16"/>
              <w:widowControl/>
              <w:jc w:val="left"/>
              <w:rPr>
                <w:rFonts w:hint="eastAsia" w:ascii="黑体" w:hAnsi="黑体" w:eastAsia="黑体" w:cs="黑体"/>
                <w:color w:val="0F1115"/>
                <w:sz w:val="21"/>
                <w:szCs w:val="21"/>
                <w:shd w:val="clear" w:color="auto" w:fill="FFFFFF"/>
                <w:lang w:eastAsia="zh-CN"/>
              </w:rPr>
            </w:pPr>
            <w:r>
              <w:rPr>
                <w:rFonts w:hint="eastAsia" w:ascii="黑体" w:hAnsi="黑体" w:eastAsia="黑体" w:cs="黑体"/>
                <w:color w:val="0F1115"/>
                <w:sz w:val="21"/>
                <w:szCs w:val="21"/>
                <w:shd w:val="clear" w:color="auto" w:fill="FFFFFF"/>
                <w:lang w:val="en-US" w:eastAsia="zh-CN"/>
              </w:rPr>
              <w:t>无</w:t>
            </w:r>
          </w:p>
        </w:tc>
      </w:tr>
      <w:tr w14:paraId="64DB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5" w:hRule="exact"/>
        </w:trPr>
        <w:tc>
          <w:tcPr>
            <w:tcW w:w="0" w:type="auto"/>
            <w:shd w:val="clear" w:color="auto" w:fill="auto"/>
            <w:tcMar>
              <w:top w:w="150" w:type="dxa"/>
              <w:left w:w="0" w:type="dxa"/>
              <w:bottom w:w="150" w:type="dxa"/>
              <w:right w:w="240" w:type="dxa"/>
            </w:tcMar>
            <w:vAlign w:val="center"/>
          </w:tcPr>
          <w:p w14:paraId="2FD2E568">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3.5.1</w:t>
            </w:r>
          </w:p>
        </w:tc>
        <w:tc>
          <w:tcPr>
            <w:tcW w:w="0" w:type="auto"/>
            <w:shd w:val="clear" w:color="auto" w:fill="auto"/>
            <w:tcMar>
              <w:top w:w="150" w:type="dxa"/>
              <w:left w:w="240" w:type="dxa"/>
              <w:bottom w:w="150" w:type="dxa"/>
              <w:right w:w="240" w:type="dxa"/>
            </w:tcMar>
            <w:vAlign w:val="center"/>
          </w:tcPr>
          <w:p w14:paraId="3C5C9E98">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资格审查</w:t>
            </w:r>
          </w:p>
        </w:tc>
        <w:tc>
          <w:tcPr>
            <w:tcW w:w="3368" w:type="dxa"/>
            <w:shd w:val="clear" w:color="auto" w:fill="auto"/>
            <w:tcMar>
              <w:top w:w="150" w:type="dxa"/>
              <w:left w:w="240" w:type="dxa"/>
              <w:bottom w:w="150" w:type="dxa"/>
              <w:right w:w="240" w:type="dxa"/>
            </w:tcMar>
            <w:vAlign w:val="center"/>
          </w:tcPr>
          <w:p w14:paraId="70194BAC">
            <w:pPr>
              <w:pStyle w:val="16"/>
              <w:widowControl/>
              <w:jc w:val="left"/>
              <w:rPr>
                <w:rFonts w:ascii="黑体" w:hAnsi="黑体" w:eastAsia="黑体" w:cs="黑体"/>
                <w:color w:val="0F1115"/>
                <w:sz w:val="21"/>
                <w:szCs w:val="21"/>
                <w:highlight w:val="none"/>
                <w:shd w:val="clear" w:color="auto" w:fill="FFFFFF"/>
              </w:rPr>
            </w:pPr>
            <w:r>
              <w:rPr>
                <w:rFonts w:hint="eastAsia" w:ascii="黑体" w:hAnsi="黑体" w:eastAsia="黑体" w:cs="黑体"/>
                <w:color w:val="0F1115"/>
                <w:sz w:val="21"/>
                <w:szCs w:val="21"/>
                <w:highlight w:val="none"/>
                <w:shd w:val="clear" w:color="auto" w:fill="FFFFFF"/>
              </w:rPr>
              <w:t>1. 评标委员会对投标人的资格审查文件（电子版）进行评审。评审合格的进入下一阶段评标；评标不合格的取消其投标资格。</w:t>
            </w:r>
            <w:r>
              <w:rPr>
                <w:rFonts w:hint="eastAsia" w:ascii="黑体" w:hAnsi="黑体" w:eastAsia="黑体" w:cs="黑体"/>
                <w:color w:val="0F1115"/>
                <w:sz w:val="21"/>
                <w:szCs w:val="21"/>
                <w:highlight w:val="none"/>
                <w:shd w:val="clear" w:color="auto" w:fill="FFFFFF"/>
              </w:rPr>
              <w:br w:type="textWrapping"/>
            </w:r>
            <w:r>
              <w:rPr>
                <w:rFonts w:hint="eastAsia" w:ascii="黑体" w:hAnsi="黑体" w:eastAsia="黑体" w:cs="黑体"/>
                <w:color w:val="0F1115"/>
                <w:sz w:val="21"/>
                <w:szCs w:val="21"/>
                <w:highlight w:val="none"/>
                <w:shd w:val="clear" w:color="auto" w:fill="FFFFFF"/>
              </w:rPr>
              <w:t>2. 制作资格审查文件（电子版）后，在</w:t>
            </w:r>
            <w:r>
              <w:rPr>
                <w:rFonts w:hint="eastAsia" w:ascii="黑体" w:hAnsi="黑体" w:eastAsia="黑体" w:cs="黑体"/>
                <w:color w:val="0F1115"/>
                <w:sz w:val="21"/>
                <w:szCs w:val="21"/>
                <w:highlight w:val="none"/>
                <w:shd w:val="clear" w:color="auto" w:fill="FFFFFF"/>
                <w:lang w:val="en-US" w:eastAsia="zh-CN"/>
              </w:rPr>
              <w:t>2026</w:t>
            </w:r>
            <w:r>
              <w:rPr>
                <w:rFonts w:hint="eastAsia" w:ascii="黑体" w:hAnsi="黑体" w:eastAsia="黑体" w:cs="黑体"/>
                <w:color w:val="0F1115"/>
                <w:sz w:val="21"/>
                <w:szCs w:val="21"/>
                <w:highlight w:val="none"/>
                <w:shd w:val="clear" w:color="auto" w:fill="FFFFFF"/>
              </w:rPr>
              <w:t>年</w:t>
            </w:r>
            <w:r>
              <w:rPr>
                <w:rFonts w:hint="eastAsia" w:ascii="黑体" w:hAnsi="黑体" w:eastAsia="黑体" w:cs="黑体"/>
                <w:color w:val="0F1115"/>
                <w:sz w:val="21"/>
                <w:szCs w:val="21"/>
                <w:highlight w:val="none"/>
                <w:shd w:val="clear" w:color="auto" w:fill="FFFFFF"/>
                <w:lang w:val="en-US" w:eastAsia="zh-CN"/>
              </w:rPr>
              <w:t>2</w:t>
            </w:r>
            <w:r>
              <w:rPr>
                <w:rFonts w:hint="eastAsia" w:ascii="黑体" w:hAnsi="黑体" w:eastAsia="黑体" w:cs="黑体"/>
                <w:color w:val="0F1115"/>
                <w:sz w:val="21"/>
                <w:szCs w:val="21"/>
                <w:highlight w:val="none"/>
                <w:shd w:val="clear" w:color="auto" w:fill="FFFFFF"/>
              </w:rPr>
              <w:t>月</w:t>
            </w:r>
            <w:r>
              <w:rPr>
                <w:rFonts w:hint="eastAsia" w:ascii="黑体" w:hAnsi="黑体" w:eastAsia="黑体" w:cs="黑体"/>
                <w:color w:val="0F1115"/>
                <w:sz w:val="21"/>
                <w:szCs w:val="21"/>
                <w:highlight w:val="none"/>
                <w:shd w:val="clear" w:color="auto" w:fill="FFFFFF"/>
                <w:lang w:val="en-US" w:eastAsia="zh-CN"/>
              </w:rPr>
              <w:t>4</w:t>
            </w:r>
            <w:r>
              <w:rPr>
                <w:rFonts w:hint="eastAsia" w:ascii="黑体" w:hAnsi="黑体" w:eastAsia="黑体" w:cs="黑体"/>
                <w:color w:val="0F1115"/>
                <w:sz w:val="21"/>
                <w:szCs w:val="21"/>
                <w:highlight w:val="none"/>
                <w:shd w:val="clear" w:color="auto" w:fill="FFFFFF"/>
              </w:rPr>
              <w:t>日上午</w:t>
            </w:r>
            <w:r>
              <w:rPr>
                <w:rFonts w:hint="eastAsia" w:ascii="黑体" w:hAnsi="黑体" w:eastAsia="黑体" w:cs="黑体"/>
                <w:color w:val="0F1115"/>
                <w:sz w:val="21"/>
                <w:szCs w:val="21"/>
                <w:highlight w:val="none"/>
                <w:shd w:val="clear" w:color="auto" w:fill="FFFFFF"/>
                <w:lang w:val="en-US" w:eastAsia="zh-CN"/>
              </w:rPr>
              <w:t>9</w:t>
            </w:r>
            <w:r>
              <w:rPr>
                <w:rFonts w:hint="eastAsia" w:ascii="黑体" w:hAnsi="黑体" w:eastAsia="黑体" w:cs="黑体"/>
                <w:color w:val="0F1115"/>
                <w:sz w:val="21"/>
                <w:szCs w:val="21"/>
                <w:highlight w:val="none"/>
                <w:shd w:val="clear" w:color="auto" w:fill="FFFFFF"/>
              </w:rPr>
              <w:t>点前，上传报名网站。</w:t>
            </w:r>
          </w:p>
        </w:tc>
        <w:tc>
          <w:tcPr>
            <w:tcW w:w="3077" w:type="dxa"/>
            <w:shd w:val="clear" w:color="auto" w:fill="auto"/>
            <w:tcMar>
              <w:top w:w="150" w:type="dxa"/>
              <w:left w:w="240" w:type="dxa"/>
              <w:bottom w:w="150" w:type="dxa"/>
              <w:right w:w="0" w:type="dxa"/>
            </w:tcMar>
            <w:vAlign w:val="center"/>
          </w:tcPr>
          <w:p w14:paraId="315407A6">
            <w:pPr>
              <w:pStyle w:val="16"/>
              <w:widowControl/>
              <w:jc w:val="left"/>
              <w:rPr>
                <w:rFonts w:ascii="黑体" w:hAnsi="黑体" w:eastAsia="黑体" w:cs="黑体"/>
                <w:color w:val="0F1115"/>
                <w:kern w:val="2"/>
                <w:sz w:val="21"/>
                <w:szCs w:val="21"/>
                <w:highlight w:val="none"/>
                <w:shd w:val="clear" w:color="auto" w:fill="FFFFFF"/>
                <w:lang w:val="en-US" w:eastAsia="zh-CN" w:bidi="ar-SA"/>
              </w:rPr>
            </w:pPr>
            <w:r>
              <w:rPr>
                <w:rFonts w:hint="eastAsia" w:ascii="黑体" w:hAnsi="黑体" w:eastAsia="黑体" w:cs="黑体"/>
                <w:color w:val="0F1115"/>
                <w:sz w:val="21"/>
                <w:szCs w:val="21"/>
                <w:highlight w:val="none"/>
                <w:shd w:val="clear" w:color="auto" w:fill="FFFFFF"/>
              </w:rPr>
              <w:t>1. 评标委员会对投标人的资格审查文件（电子版）进行评审。评审合格的进入下一阶段评标；评标不合格的取消其投标资格。</w:t>
            </w:r>
            <w:r>
              <w:rPr>
                <w:rFonts w:hint="eastAsia" w:ascii="黑体" w:hAnsi="黑体" w:eastAsia="黑体" w:cs="黑体"/>
                <w:color w:val="0F1115"/>
                <w:sz w:val="21"/>
                <w:szCs w:val="21"/>
                <w:highlight w:val="none"/>
                <w:shd w:val="clear" w:color="auto" w:fill="FFFFFF"/>
              </w:rPr>
              <w:br w:type="textWrapping"/>
            </w:r>
            <w:r>
              <w:rPr>
                <w:rFonts w:hint="eastAsia" w:ascii="黑体" w:hAnsi="黑体" w:eastAsia="黑体" w:cs="黑体"/>
                <w:color w:val="0F1115"/>
                <w:sz w:val="21"/>
                <w:szCs w:val="21"/>
                <w:highlight w:val="none"/>
                <w:shd w:val="clear" w:color="auto" w:fill="FFFFFF"/>
              </w:rPr>
              <w:t>2. 制作资格审查文件（电子版）后，在</w:t>
            </w:r>
            <w:r>
              <w:rPr>
                <w:rFonts w:hint="eastAsia" w:ascii="黑体" w:hAnsi="黑体" w:eastAsia="黑体" w:cs="黑体"/>
                <w:color w:val="0F1115"/>
                <w:sz w:val="21"/>
                <w:szCs w:val="21"/>
                <w:highlight w:val="none"/>
                <w:shd w:val="clear" w:color="auto" w:fill="FFFFFF"/>
                <w:lang w:val="en-US" w:eastAsia="zh-CN"/>
              </w:rPr>
              <w:t>2026</w:t>
            </w:r>
            <w:r>
              <w:rPr>
                <w:rFonts w:hint="eastAsia" w:ascii="黑体" w:hAnsi="黑体" w:eastAsia="黑体" w:cs="黑体"/>
                <w:color w:val="0F1115"/>
                <w:sz w:val="21"/>
                <w:szCs w:val="21"/>
                <w:highlight w:val="none"/>
                <w:shd w:val="clear" w:color="auto" w:fill="FFFFFF"/>
              </w:rPr>
              <w:t>年</w:t>
            </w:r>
            <w:r>
              <w:rPr>
                <w:rFonts w:hint="eastAsia" w:ascii="黑体" w:hAnsi="黑体" w:eastAsia="黑体" w:cs="黑体"/>
                <w:color w:val="0F1115"/>
                <w:sz w:val="21"/>
                <w:szCs w:val="21"/>
                <w:highlight w:val="none"/>
                <w:shd w:val="clear" w:color="auto" w:fill="FFFFFF"/>
                <w:lang w:val="en-US" w:eastAsia="zh-CN"/>
              </w:rPr>
              <w:t>2</w:t>
            </w:r>
            <w:r>
              <w:rPr>
                <w:rFonts w:hint="eastAsia" w:ascii="黑体" w:hAnsi="黑体" w:eastAsia="黑体" w:cs="黑体"/>
                <w:color w:val="0F1115"/>
                <w:sz w:val="21"/>
                <w:szCs w:val="21"/>
                <w:highlight w:val="none"/>
                <w:shd w:val="clear" w:color="auto" w:fill="FFFFFF"/>
              </w:rPr>
              <w:t>月</w:t>
            </w:r>
            <w:r>
              <w:rPr>
                <w:rFonts w:hint="eastAsia" w:ascii="黑体" w:hAnsi="黑体" w:eastAsia="黑体" w:cs="黑体"/>
                <w:color w:val="0F1115"/>
                <w:sz w:val="21"/>
                <w:szCs w:val="21"/>
                <w:highlight w:val="none"/>
                <w:shd w:val="clear" w:color="auto" w:fill="FFFFFF"/>
                <w:lang w:val="en-US" w:eastAsia="zh-CN"/>
              </w:rPr>
              <w:t>4</w:t>
            </w:r>
            <w:r>
              <w:rPr>
                <w:rFonts w:hint="eastAsia" w:ascii="黑体" w:hAnsi="黑体" w:eastAsia="黑体" w:cs="黑体"/>
                <w:color w:val="0F1115"/>
                <w:sz w:val="21"/>
                <w:szCs w:val="21"/>
                <w:highlight w:val="none"/>
                <w:shd w:val="clear" w:color="auto" w:fill="FFFFFF"/>
              </w:rPr>
              <w:t>日上午</w:t>
            </w:r>
            <w:r>
              <w:rPr>
                <w:rFonts w:hint="eastAsia" w:ascii="黑体" w:hAnsi="黑体" w:eastAsia="黑体" w:cs="黑体"/>
                <w:color w:val="0F1115"/>
                <w:sz w:val="21"/>
                <w:szCs w:val="21"/>
                <w:highlight w:val="none"/>
                <w:shd w:val="clear" w:color="auto" w:fill="FFFFFF"/>
                <w:lang w:val="en-US" w:eastAsia="zh-CN"/>
              </w:rPr>
              <w:t>9</w:t>
            </w:r>
            <w:r>
              <w:rPr>
                <w:rFonts w:hint="eastAsia" w:ascii="黑体" w:hAnsi="黑体" w:eastAsia="黑体" w:cs="黑体"/>
                <w:color w:val="0F1115"/>
                <w:sz w:val="21"/>
                <w:szCs w:val="21"/>
                <w:highlight w:val="none"/>
                <w:shd w:val="clear" w:color="auto" w:fill="FFFFFF"/>
              </w:rPr>
              <w:t>点前，上传报名网站。</w:t>
            </w:r>
          </w:p>
        </w:tc>
      </w:tr>
      <w:tr w14:paraId="42E2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98" w:hRule="exact"/>
        </w:trPr>
        <w:tc>
          <w:tcPr>
            <w:tcW w:w="0" w:type="auto"/>
            <w:shd w:val="clear" w:color="auto" w:fill="auto"/>
            <w:tcMar>
              <w:top w:w="150" w:type="dxa"/>
              <w:left w:w="0" w:type="dxa"/>
              <w:bottom w:w="150" w:type="dxa"/>
              <w:right w:w="240" w:type="dxa"/>
            </w:tcMar>
            <w:vAlign w:val="center"/>
          </w:tcPr>
          <w:p w14:paraId="645D6E83">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3.5.2</w:t>
            </w:r>
          </w:p>
        </w:tc>
        <w:tc>
          <w:tcPr>
            <w:tcW w:w="0" w:type="auto"/>
            <w:shd w:val="clear" w:color="auto" w:fill="auto"/>
            <w:tcMar>
              <w:top w:w="150" w:type="dxa"/>
              <w:left w:w="240" w:type="dxa"/>
              <w:bottom w:w="150" w:type="dxa"/>
              <w:right w:w="240" w:type="dxa"/>
            </w:tcMar>
            <w:vAlign w:val="center"/>
          </w:tcPr>
          <w:p w14:paraId="26427C68">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近三年财务状况的年份要求</w:t>
            </w:r>
          </w:p>
        </w:tc>
        <w:tc>
          <w:tcPr>
            <w:tcW w:w="3368" w:type="dxa"/>
            <w:shd w:val="clear" w:color="auto" w:fill="auto"/>
            <w:tcMar>
              <w:top w:w="150" w:type="dxa"/>
              <w:left w:w="240" w:type="dxa"/>
              <w:bottom w:w="150" w:type="dxa"/>
              <w:right w:w="240" w:type="dxa"/>
            </w:tcMar>
            <w:vAlign w:val="center"/>
          </w:tcPr>
          <w:p w14:paraId="76F08690">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2023、2024、2025年度</w:t>
            </w:r>
          </w:p>
        </w:tc>
        <w:tc>
          <w:tcPr>
            <w:tcW w:w="3077" w:type="dxa"/>
            <w:shd w:val="clear" w:color="auto" w:fill="auto"/>
            <w:tcMar>
              <w:top w:w="150" w:type="dxa"/>
              <w:left w:w="240" w:type="dxa"/>
              <w:bottom w:w="150" w:type="dxa"/>
              <w:right w:w="0" w:type="dxa"/>
            </w:tcMar>
            <w:vAlign w:val="center"/>
          </w:tcPr>
          <w:p w14:paraId="1C30D952">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2023、2024、2025年度</w:t>
            </w:r>
          </w:p>
        </w:tc>
      </w:tr>
      <w:tr w14:paraId="425F1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5" w:hRule="exact"/>
        </w:trPr>
        <w:tc>
          <w:tcPr>
            <w:tcW w:w="0" w:type="auto"/>
            <w:shd w:val="clear" w:color="auto" w:fill="auto"/>
            <w:tcMar>
              <w:top w:w="150" w:type="dxa"/>
              <w:left w:w="0" w:type="dxa"/>
              <w:bottom w:w="150" w:type="dxa"/>
              <w:right w:w="240" w:type="dxa"/>
            </w:tcMar>
            <w:vAlign w:val="center"/>
          </w:tcPr>
          <w:p w14:paraId="4DDF5D43">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3.5.3</w:t>
            </w:r>
          </w:p>
        </w:tc>
        <w:tc>
          <w:tcPr>
            <w:tcW w:w="0" w:type="auto"/>
            <w:shd w:val="clear" w:color="auto" w:fill="auto"/>
            <w:tcMar>
              <w:top w:w="150" w:type="dxa"/>
              <w:left w:w="240" w:type="dxa"/>
              <w:bottom w:w="150" w:type="dxa"/>
              <w:right w:w="240" w:type="dxa"/>
            </w:tcMar>
            <w:vAlign w:val="center"/>
          </w:tcPr>
          <w:p w14:paraId="6CE81D53">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近三年完成的类似项目的年份要求</w:t>
            </w:r>
          </w:p>
        </w:tc>
        <w:tc>
          <w:tcPr>
            <w:tcW w:w="3368" w:type="dxa"/>
            <w:shd w:val="clear" w:color="auto" w:fill="auto"/>
            <w:tcMar>
              <w:top w:w="150" w:type="dxa"/>
              <w:left w:w="240" w:type="dxa"/>
              <w:bottom w:w="150" w:type="dxa"/>
              <w:right w:w="240" w:type="dxa"/>
            </w:tcMar>
            <w:vAlign w:val="center"/>
          </w:tcPr>
          <w:p w14:paraId="21164B57">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2023年1月至2025年12月</w:t>
            </w:r>
          </w:p>
        </w:tc>
        <w:tc>
          <w:tcPr>
            <w:tcW w:w="3077" w:type="dxa"/>
            <w:shd w:val="clear" w:color="auto" w:fill="auto"/>
            <w:tcMar>
              <w:top w:w="150" w:type="dxa"/>
              <w:left w:w="240" w:type="dxa"/>
              <w:bottom w:w="150" w:type="dxa"/>
              <w:right w:w="0" w:type="dxa"/>
            </w:tcMar>
            <w:vAlign w:val="center"/>
          </w:tcPr>
          <w:p w14:paraId="10D31389">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2023年1月至2025年12月</w:t>
            </w:r>
          </w:p>
        </w:tc>
      </w:tr>
      <w:tr w14:paraId="7496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54" w:hRule="exact"/>
        </w:trPr>
        <w:tc>
          <w:tcPr>
            <w:tcW w:w="0" w:type="auto"/>
            <w:shd w:val="clear" w:color="auto" w:fill="auto"/>
            <w:tcMar>
              <w:top w:w="150" w:type="dxa"/>
              <w:left w:w="0" w:type="dxa"/>
              <w:bottom w:w="150" w:type="dxa"/>
              <w:right w:w="240" w:type="dxa"/>
            </w:tcMar>
            <w:vAlign w:val="center"/>
          </w:tcPr>
          <w:p w14:paraId="74C5F6DD">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3.5.4</w:t>
            </w:r>
          </w:p>
        </w:tc>
        <w:tc>
          <w:tcPr>
            <w:tcW w:w="0" w:type="auto"/>
            <w:shd w:val="clear" w:color="auto" w:fill="auto"/>
            <w:tcMar>
              <w:top w:w="150" w:type="dxa"/>
              <w:left w:w="240" w:type="dxa"/>
              <w:bottom w:w="150" w:type="dxa"/>
              <w:right w:w="240" w:type="dxa"/>
            </w:tcMar>
            <w:vAlign w:val="center"/>
          </w:tcPr>
          <w:p w14:paraId="57334FCD">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近三年发生的诉讼及仲裁情况的年份要求</w:t>
            </w:r>
          </w:p>
        </w:tc>
        <w:tc>
          <w:tcPr>
            <w:tcW w:w="3368" w:type="dxa"/>
            <w:shd w:val="clear" w:color="auto" w:fill="auto"/>
            <w:tcMar>
              <w:top w:w="150" w:type="dxa"/>
              <w:left w:w="240" w:type="dxa"/>
              <w:bottom w:w="150" w:type="dxa"/>
              <w:right w:w="240" w:type="dxa"/>
            </w:tcMar>
            <w:vAlign w:val="center"/>
          </w:tcPr>
          <w:p w14:paraId="570A43ED">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2023年1月1日至2025年12月31日</w:t>
            </w:r>
          </w:p>
        </w:tc>
        <w:tc>
          <w:tcPr>
            <w:tcW w:w="3077" w:type="dxa"/>
            <w:shd w:val="clear" w:color="auto" w:fill="auto"/>
            <w:tcMar>
              <w:top w:w="150" w:type="dxa"/>
              <w:left w:w="240" w:type="dxa"/>
              <w:bottom w:w="150" w:type="dxa"/>
              <w:right w:w="0" w:type="dxa"/>
            </w:tcMar>
            <w:vAlign w:val="center"/>
          </w:tcPr>
          <w:p w14:paraId="796F1676">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2023年1月1日至2025年12月31日</w:t>
            </w:r>
          </w:p>
        </w:tc>
      </w:tr>
      <w:tr w14:paraId="01AFF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71" w:hRule="exact"/>
        </w:trPr>
        <w:tc>
          <w:tcPr>
            <w:tcW w:w="0" w:type="auto"/>
            <w:shd w:val="clear" w:color="auto" w:fill="auto"/>
            <w:tcMar>
              <w:top w:w="150" w:type="dxa"/>
              <w:left w:w="0" w:type="dxa"/>
              <w:bottom w:w="150" w:type="dxa"/>
              <w:right w:w="240" w:type="dxa"/>
            </w:tcMar>
            <w:vAlign w:val="center"/>
          </w:tcPr>
          <w:p w14:paraId="31AD7274">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3.7.4</w:t>
            </w:r>
          </w:p>
        </w:tc>
        <w:tc>
          <w:tcPr>
            <w:tcW w:w="0" w:type="auto"/>
            <w:shd w:val="clear" w:color="auto" w:fill="auto"/>
            <w:tcMar>
              <w:top w:w="150" w:type="dxa"/>
              <w:left w:w="240" w:type="dxa"/>
              <w:bottom w:w="150" w:type="dxa"/>
              <w:right w:w="240" w:type="dxa"/>
            </w:tcMar>
            <w:vAlign w:val="center"/>
          </w:tcPr>
          <w:p w14:paraId="2A03E3F3">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投标文件加密上传</w:t>
            </w:r>
          </w:p>
        </w:tc>
        <w:tc>
          <w:tcPr>
            <w:tcW w:w="3368" w:type="dxa"/>
            <w:shd w:val="clear" w:color="auto" w:fill="auto"/>
            <w:tcMar>
              <w:top w:w="150" w:type="dxa"/>
              <w:left w:w="240" w:type="dxa"/>
              <w:bottom w:w="150" w:type="dxa"/>
              <w:right w:w="240" w:type="dxa"/>
            </w:tcMar>
            <w:vAlign w:val="center"/>
          </w:tcPr>
          <w:p w14:paraId="5D50B759">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投标单位须在递交投标截止时间前将A包投标文件加密上传到网上，注意保存密码。</w:t>
            </w:r>
          </w:p>
        </w:tc>
        <w:tc>
          <w:tcPr>
            <w:tcW w:w="3077" w:type="dxa"/>
            <w:shd w:val="clear" w:color="auto" w:fill="auto"/>
            <w:tcMar>
              <w:top w:w="150" w:type="dxa"/>
              <w:left w:w="240" w:type="dxa"/>
              <w:bottom w:w="150" w:type="dxa"/>
              <w:right w:w="0" w:type="dxa"/>
            </w:tcMar>
            <w:vAlign w:val="center"/>
          </w:tcPr>
          <w:p w14:paraId="68A14089">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投标单位须在递交投标截止时间前将B包投标文件加密上传到网上，注意保存密码。</w:t>
            </w:r>
          </w:p>
        </w:tc>
      </w:tr>
      <w:tr w14:paraId="2B3A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61" w:hRule="exact"/>
        </w:trPr>
        <w:tc>
          <w:tcPr>
            <w:tcW w:w="0" w:type="auto"/>
            <w:shd w:val="clear" w:color="auto" w:fill="auto"/>
            <w:tcMar>
              <w:top w:w="150" w:type="dxa"/>
              <w:left w:w="0" w:type="dxa"/>
              <w:bottom w:w="150" w:type="dxa"/>
              <w:right w:w="240" w:type="dxa"/>
            </w:tcMar>
            <w:vAlign w:val="center"/>
          </w:tcPr>
          <w:p w14:paraId="5381BB8E">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4.1.2</w:t>
            </w:r>
          </w:p>
        </w:tc>
        <w:tc>
          <w:tcPr>
            <w:tcW w:w="0" w:type="auto"/>
            <w:shd w:val="clear" w:color="auto" w:fill="auto"/>
            <w:tcMar>
              <w:top w:w="150" w:type="dxa"/>
              <w:left w:w="240" w:type="dxa"/>
              <w:bottom w:w="150" w:type="dxa"/>
              <w:right w:w="240" w:type="dxa"/>
            </w:tcMar>
            <w:vAlign w:val="center"/>
          </w:tcPr>
          <w:p w14:paraId="21D4DE01">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文件递交</w:t>
            </w:r>
          </w:p>
        </w:tc>
        <w:tc>
          <w:tcPr>
            <w:tcW w:w="3368" w:type="dxa"/>
            <w:shd w:val="clear" w:color="auto" w:fill="auto"/>
            <w:tcMar>
              <w:top w:w="150" w:type="dxa"/>
              <w:left w:w="240" w:type="dxa"/>
              <w:bottom w:w="150" w:type="dxa"/>
              <w:right w:w="240" w:type="dxa"/>
            </w:tcMar>
            <w:vAlign w:val="center"/>
          </w:tcPr>
          <w:p w14:paraId="743E706A">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本项目为网上投标，A包投标文件上传至济钢集团有限公司阳光购销平台。</w:t>
            </w:r>
          </w:p>
        </w:tc>
        <w:tc>
          <w:tcPr>
            <w:tcW w:w="3077" w:type="dxa"/>
            <w:shd w:val="clear" w:color="auto" w:fill="auto"/>
            <w:tcMar>
              <w:top w:w="150" w:type="dxa"/>
              <w:left w:w="240" w:type="dxa"/>
              <w:bottom w:w="150" w:type="dxa"/>
              <w:right w:w="0" w:type="dxa"/>
            </w:tcMar>
            <w:vAlign w:val="center"/>
          </w:tcPr>
          <w:p w14:paraId="7D58867A">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本项目为网上投标，B包投标文件上传至济钢集团有限公司阳光购销平台。</w:t>
            </w:r>
          </w:p>
        </w:tc>
      </w:tr>
      <w:tr w14:paraId="03EB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82" w:hRule="exact"/>
        </w:trPr>
        <w:tc>
          <w:tcPr>
            <w:tcW w:w="0" w:type="auto"/>
            <w:shd w:val="clear" w:color="auto" w:fill="auto"/>
            <w:tcMar>
              <w:top w:w="150" w:type="dxa"/>
              <w:left w:w="0" w:type="dxa"/>
              <w:bottom w:w="150" w:type="dxa"/>
              <w:right w:w="240" w:type="dxa"/>
            </w:tcMar>
            <w:vAlign w:val="center"/>
          </w:tcPr>
          <w:p w14:paraId="77D115AD">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4.1.3</w:t>
            </w:r>
          </w:p>
        </w:tc>
        <w:tc>
          <w:tcPr>
            <w:tcW w:w="0" w:type="auto"/>
            <w:shd w:val="clear" w:color="auto" w:fill="auto"/>
            <w:tcMar>
              <w:top w:w="150" w:type="dxa"/>
              <w:left w:w="240" w:type="dxa"/>
              <w:bottom w:w="150" w:type="dxa"/>
              <w:right w:w="240" w:type="dxa"/>
            </w:tcMar>
            <w:vAlign w:val="center"/>
          </w:tcPr>
          <w:p w14:paraId="7E6BF6E9">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递交投标文件的截止时间(投标截止时间)</w:t>
            </w:r>
          </w:p>
        </w:tc>
        <w:tc>
          <w:tcPr>
            <w:tcW w:w="3368" w:type="dxa"/>
            <w:shd w:val="clear" w:color="auto" w:fill="auto"/>
            <w:tcMar>
              <w:top w:w="150" w:type="dxa"/>
              <w:left w:w="240" w:type="dxa"/>
              <w:bottom w:w="150" w:type="dxa"/>
              <w:right w:w="240" w:type="dxa"/>
            </w:tcMar>
            <w:vAlign w:val="center"/>
          </w:tcPr>
          <w:p w14:paraId="487EE1EB">
            <w:pPr>
              <w:pStyle w:val="16"/>
              <w:widowControl/>
              <w:jc w:val="left"/>
              <w:rPr>
                <w:rFonts w:ascii="黑体" w:hAnsi="黑体" w:eastAsia="黑体" w:cs="黑体"/>
                <w:color w:val="0F1115"/>
                <w:sz w:val="21"/>
                <w:szCs w:val="21"/>
                <w:highlight w:val="none"/>
                <w:shd w:val="clear" w:color="auto" w:fill="FFFFFF"/>
              </w:rPr>
            </w:pPr>
            <w:r>
              <w:rPr>
                <w:rFonts w:hint="eastAsia" w:ascii="黑体" w:hAnsi="黑体" w:eastAsia="黑体" w:cs="黑体"/>
                <w:color w:val="0F1115"/>
                <w:sz w:val="21"/>
                <w:szCs w:val="21"/>
                <w:highlight w:val="none"/>
                <w:shd w:val="clear" w:color="auto" w:fill="FFFFFF"/>
                <w:lang w:val="en-US" w:eastAsia="zh-CN"/>
              </w:rPr>
              <w:t>2026</w:t>
            </w:r>
            <w:r>
              <w:rPr>
                <w:rFonts w:hint="eastAsia" w:ascii="黑体" w:hAnsi="黑体" w:eastAsia="黑体" w:cs="黑体"/>
                <w:color w:val="0F1115"/>
                <w:sz w:val="21"/>
                <w:szCs w:val="21"/>
                <w:highlight w:val="none"/>
                <w:shd w:val="clear" w:color="auto" w:fill="FFFFFF"/>
              </w:rPr>
              <w:t>年</w:t>
            </w:r>
            <w:r>
              <w:rPr>
                <w:rFonts w:hint="eastAsia" w:ascii="黑体" w:hAnsi="黑体" w:eastAsia="黑体" w:cs="黑体"/>
                <w:color w:val="0F1115"/>
                <w:sz w:val="21"/>
                <w:szCs w:val="21"/>
                <w:highlight w:val="none"/>
                <w:shd w:val="clear" w:color="auto" w:fill="FFFFFF"/>
                <w:lang w:val="en-US" w:eastAsia="zh-CN"/>
              </w:rPr>
              <w:t>2</w:t>
            </w:r>
            <w:r>
              <w:rPr>
                <w:rFonts w:hint="eastAsia" w:ascii="黑体" w:hAnsi="黑体" w:eastAsia="黑体" w:cs="黑体"/>
                <w:color w:val="0F1115"/>
                <w:sz w:val="21"/>
                <w:szCs w:val="21"/>
                <w:highlight w:val="none"/>
                <w:shd w:val="clear" w:color="auto" w:fill="FFFFFF"/>
              </w:rPr>
              <w:t>月</w:t>
            </w:r>
            <w:r>
              <w:rPr>
                <w:rFonts w:hint="eastAsia" w:ascii="黑体" w:hAnsi="黑体" w:eastAsia="黑体" w:cs="黑体"/>
                <w:color w:val="0F1115"/>
                <w:sz w:val="21"/>
                <w:szCs w:val="21"/>
                <w:highlight w:val="none"/>
                <w:shd w:val="clear" w:color="auto" w:fill="FFFFFF"/>
                <w:lang w:val="en-US" w:eastAsia="zh-CN"/>
              </w:rPr>
              <w:t>4</w:t>
            </w:r>
            <w:r>
              <w:rPr>
                <w:rFonts w:hint="eastAsia" w:ascii="黑体" w:hAnsi="黑体" w:eastAsia="黑体" w:cs="黑体"/>
                <w:color w:val="0F1115"/>
                <w:sz w:val="21"/>
                <w:szCs w:val="21"/>
                <w:highlight w:val="none"/>
                <w:shd w:val="clear" w:color="auto" w:fill="FFFFFF"/>
              </w:rPr>
              <w:t>日上午</w:t>
            </w:r>
            <w:r>
              <w:rPr>
                <w:rFonts w:hint="eastAsia" w:ascii="黑体" w:hAnsi="黑体" w:eastAsia="黑体" w:cs="黑体"/>
                <w:color w:val="0F1115"/>
                <w:sz w:val="21"/>
                <w:szCs w:val="21"/>
                <w:highlight w:val="none"/>
                <w:shd w:val="clear" w:color="auto" w:fill="FFFFFF"/>
                <w:lang w:val="en-US" w:eastAsia="zh-CN"/>
              </w:rPr>
              <w:t>9</w:t>
            </w:r>
            <w:r>
              <w:rPr>
                <w:rFonts w:hint="eastAsia" w:ascii="黑体" w:hAnsi="黑体" w:eastAsia="黑体" w:cs="黑体"/>
                <w:color w:val="0F1115"/>
                <w:sz w:val="21"/>
                <w:szCs w:val="21"/>
                <w:highlight w:val="none"/>
                <w:shd w:val="clear" w:color="auto" w:fill="FFFFFF"/>
              </w:rPr>
              <w:t>时（北京时间）</w:t>
            </w:r>
          </w:p>
        </w:tc>
        <w:tc>
          <w:tcPr>
            <w:tcW w:w="3077" w:type="dxa"/>
            <w:shd w:val="clear" w:color="auto" w:fill="auto"/>
            <w:tcMar>
              <w:top w:w="150" w:type="dxa"/>
              <w:left w:w="240" w:type="dxa"/>
              <w:bottom w:w="150" w:type="dxa"/>
              <w:right w:w="0" w:type="dxa"/>
            </w:tcMar>
            <w:vAlign w:val="center"/>
          </w:tcPr>
          <w:p w14:paraId="5F59EF7C">
            <w:pPr>
              <w:pStyle w:val="16"/>
              <w:widowControl/>
              <w:jc w:val="left"/>
              <w:rPr>
                <w:rFonts w:ascii="黑体" w:hAnsi="黑体" w:eastAsia="黑体" w:cs="黑体"/>
                <w:color w:val="0F1115"/>
                <w:sz w:val="21"/>
                <w:szCs w:val="21"/>
                <w:highlight w:val="none"/>
                <w:shd w:val="clear" w:color="auto" w:fill="FFFFFF"/>
              </w:rPr>
            </w:pPr>
            <w:r>
              <w:rPr>
                <w:rFonts w:hint="eastAsia" w:ascii="黑体" w:hAnsi="黑体" w:eastAsia="黑体" w:cs="黑体"/>
                <w:color w:val="0F1115"/>
                <w:sz w:val="21"/>
                <w:szCs w:val="21"/>
                <w:highlight w:val="none"/>
                <w:shd w:val="clear" w:color="auto" w:fill="FFFFFF"/>
                <w:lang w:val="en-US" w:eastAsia="zh-CN"/>
              </w:rPr>
              <w:t>2026</w:t>
            </w:r>
            <w:r>
              <w:rPr>
                <w:rFonts w:hint="eastAsia" w:ascii="黑体" w:hAnsi="黑体" w:eastAsia="黑体" w:cs="黑体"/>
                <w:color w:val="0F1115"/>
                <w:sz w:val="21"/>
                <w:szCs w:val="21"/>
                <w:highlight w:val="none"/>
                <w:shd w:val="clear" w:color="auto" w:fill="FFFFFF"/>
              </w:rPr>
              <w:t>年</w:t>
            </w:r>
            <w:r>
              <w:rPr>
                <w:rFonts w:hint="eastAsia" w:ascii="黑体" w:hAnsi="黑体" w:eastAsia="黑体" w:cs="黑体"/>
                <w:color w:val="0F1115"/>
                <w:sz w:val="21"/>
                <w:szCs w:val="21"/>
                <w:highlight w:val="none"/>
                <w:shd w:val="clear" w:color="auto" w:fill="FFFFFF"/>
                <w:lang w:val="en-US" w:eastAsia="zh-CN"/>
              </w:rPr>
              <w:t>2</w:t>
            </w:r>
            <w:r>
              <w:rPr>
                <w:rFonts w:hint="eastAsia" w:ascii="黑体" w:hAnsi="黑体" w:eastAsia="黑体" w:cs="黑体"/>
                <w:color w:val="0F1115"/>
                <w:sz w:val="21"/>
                <w:szCs w:val="21"/>
                <w:highlight w:val="none"/>
                <w:shd w:val="clear" w:color="auto" w:fill="FFFFFF"/>
              </w:rPr>
              <w:t>月</w:t>
            </w:r>
            <w:r>
              <w:rPr>
                <w:rFonts w:hint="eastAsia" w:ascii="黑体" w:hAnsi="黑体" w:eastAsia="黑体" w:cs="黑体"/>
                <w:color w:val="0F1115"/>
                <w:sz w:val="21"/>
                <w:szCs w:val="21"/>
                <w:highlight w:val="none"/>
                <w:shd w:val="clear" w:color="auto" w:fill="FFFFFF"/>
                <w:lang w:val="en-US" w:eastAsia="zh-CN"/>
              </w:rPr>
              <w:t>4</w:t>
            </w:r>
            <w:r>
              <w:rPr>
                <w:rFonts w:hint="eastAsia" w:ascii="黑体" w:hAnsi="黑体" w:eastAsia="黑体" w:cs="黑体"/>
                <w:color w:val="0F1115"/>
                <w:sz w:val="21"/>
                <w:szCs w:val="21"/>
                <w:highlight w:val="none"/>
                <w:shd w:val="clear" w:color="auto" w:fill="FFFFFF"/>
              </w:rPr>
              <w:t>日上午</w:t>
            </w:r>
            <w:r>
              <w:rPr>
                <w:rFonts w:hint="eastAsia" w:ascii="黑体" w:hAnsi="黑体" w:eastAsia="黑体" w:cs="黑体"/>
                <w:color w:val="0F1115"/>
                <w:sz w:val="21"/>
                <w:szCs w:val="21"/>
                <w:highlight w:val="none"/>
                <w:shd w:val="clear" w:color="auto" w:fill="FFFFFF"/>
                <w:lang w:val="en-US" w:eastAsia="zh-CN"/>
              </w:rPr>
              <w:t>9</w:t>
            </w:r>
            <w:r>
              <w:rPr>
                <w:rFonts w:hint="eastAsia" w:ascii="黑体" w:hAnsi="黑体" w:eastAsia="黑体" w:cs="黑体"/>
                <w:color w:val="0F1115"/>
                <w:sz w:val="21"/>
                <w:szCs w:val="21"/>
                <w:highlight w:val="none"/>
                <w:shd w:val="clear" w:color="auto" w:fill="FFFFFF"/>
              </w:rPr>
              <w:t>时（北京时间）</w:t>
            </w:r>
          </w:p>
        </w:tc>
      </w:tr>
      <w:tr w14:paraId="7FFE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0" w:hRule="exact"/>
        </w:trPr>
        <w:tc>
          <w:tcPr>
            <w:tcW w:w="0" w:type="auto"/>
            <w:shd w:val="clear" w:color="auto" w:fill="auto"/>
            <w:tcMar>
              <w:top w:w="150" w:type="dxa"/>
              <w:left w:w="0" w:type="dxa"/>
              <w:bottom w:w="150" w:type="dxa"/>
              <w:right w:w="240" w:type="dxa"/>
            </w:tcMar>
            <w:vAlign w:val="center"/>
          </w:tcPr>
          <w:p w14:paraId="4FEF53BE">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4.1.4</w:t>
            </w:r>
          </w:p>
        </w:tc>
        <w:tc>
          <w:tcPr>
            <w:tcW w:w="0" w:type="auto"/>
            <w:shd w:val="clear" w:color="auto" w:fill="auto"/>
            <w:tcMar>
              <w:top w:w="150" w:type="dxa"/>
              <w:left w:w="240" w:type="dxa"/>
              <w:bottom w:w="150" w:type="dxa"/>
              <w:right w:w="240" w:type="dxa"/>
            </w:tcMar>
            <w:vAlign w:val="center"/>
          </w:tcPr>
          <w:p w14:paraId="76F207E6">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递交投标文件地点</w:t>
            </w:r>
          </w:p>
        </w:tc>
        <w:tc>
          <w:tcPr>
            <w:tcW w:w="3368" w:type="dxa"/>
            <w:shd w:val="clear" w:color="auto" w:fill="auto"/>
            <w:tcMar>
              <w:top w:w="150" w:type="dxa"/>
              <w:left w:w="240" w:type="dxa"/>
              <w:bottom w:w="150" w:type="dxa"/>
              <w:right w:w="240" w:type="dxa"/>
            </w:tcMar>
            <w:vAlign w:val="center"/>
          </w:tcPr>
          <w:p w14:paraId="1FEA888F">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上传至济钢集团有限公司阳光购销平台</w:t>
            </w:r>
          </w:p>
        </w:tc>
        <w:tc>
          <w:tcPr>
            <w:tcW w:w="3077" w:type="dxa"/>
            <w:shd w:val="clear" w:color="auto" w:fill="auto"/>
            <w:tcMar>
              <w:top w:w="150" w:type="dxa"/>
              <w:left w:w="240" w:type="dxa"/>
              <w:bottom w:w="150" w:type="dxa"/>
              <w:right w:w="0" w:type="dxa"/>
            </w:tcMar>
            <w:vAlign w:val="center"/>
          </w:tcPr>
          <w:p w14:paraId="6DF9E7F2">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上传至济钢集团有限公司阳光购销平台</w:t>
            </w:r>
          </w:p>
        </w:tc>
      </w:tr>
      <w:tr w14:paraId="0D23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0" w:hRule="exact"/>
        </w:trPr>
        <w:tc>
          <w:tcPr>
            <w:tcW w:w="0" w:type="auto"/>
            <w:shd w:val="clear" w:color="auto" w:fill="auto"/>
            <w:tcMar>
              <w:top w:w="150" w:type="dxa"/>
              <w:left w:w="0" w:type="dxa"/>
              <w:bottom w:w="150" w:type="dxa"/>
              <w:right w:w="240" w:type="dxa"/>
            </w:tcMar>
            <w:vAlign w:val="center"/>
          </w:tcPr>
          <w:p w14:paraId="2B796F23">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4.1.5</w:t>
            </w:r>
          </w:p>
        </w:tc>
        <w:tc>
          <w:tcPr>
            <w:tcW w:w="0" w:type="auto"/>
            <w:shd w:val="clear" w:color="auto" w:fill="auto"/>
            <w:tcMar>
              <w:top w:w="150" w:type="dxa"/>
              <w:left w:w="240" w:type="dxa"/>
              <w:bottom w:w="150" w:type="dxa"/>
              <w:right w:w="240" w:type="dxa"/>
            </w:tcMar>
            <w:vAlign w:val="center"/>
          </w:tcPr>
          <w:p w14:paraId="6ED95768">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是否退还投标文件</w:t>
            </w:r>
          </w:p>
        </w:tc>
        <w:tc>
          <w:tcPr>
            <w:tcW w:w="3368" w:type="dxa"/>
            <w:shd w:val="clear" w:color="auto" w:fill="auto"/>
            <w:tcMar>
              <w:top w:w="150" w:type="dxa"/>
              <w:left w:w="240" w:type="dxa"/>
              <w:bottom w:w="150" w:type="dxa"/>
              <w:right w:w="240" w:type="dxa"/>
            </w:tcMar>
            <w:vAlign w:val="center"/>
          </w:tcPr>
          <w:p w14:paraId="4B8CFBCB">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否</w:t>
            </w:r>
          </w:p>
        </w:tc>
        <w:tc>
          <w:tcPr>
            <w:tcW w:w="3077" w:type="dxa"/>
            <w:shd w:val="clear" w:color="auto" w:fill="auto"/>
            <w:tcMar>
              <w:top w:w="150" w:type="dxa"/>
              <w:left w:w="240" w:type="dxa"/>
              <w:bottom w:w="150" w:type="dxa"/>
              <w:right w:w="0" w:type="dxa"/>
            </w:tcMar>
            <w:vAlign w:val="center"/>
          </w:tcPr>
          <w:p w14:paraId="770E567C">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否</w:t>
            </w:r>
          </w:p>
        </w:tc>
      </w:tr>
      <w:tr w14:paraId="5B004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62" w:hRule="exact"/>
        </w:trPr>
        <w:tc>
          <w:tcPr>
            <w:tcW w:w="0" w:type="auto"/>
            <w:shd w:val="clear" w:color="auto" w:fill="auto"/>
            <w:tcMar>
              <w:top w:w="150" w:type="dxa"/>
              <w:left w:w="0" w:type="dxa"/>
              <w:bottom w:w="150" w:type="dxa"/>
              <w:right w:w="240" w:type="dxa"/>
            </w:tcMar>
            <w:vAlign w:val="center"/>
          </w:tcPr>
          <w:p w14:paraId="3A26F930">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4.1.6</w:t>
            </w:r>
          </w:p>
        </w:tc>
        <w:tc>
          <w:tcPr>
            <w:tcW w:w="0" w:type="auto"/>
            <w:shd w:val="clear" w:color="auto" w:fill="auto"/>
            <w:tcMar>
              <w:top w:w="150" w:type="dxa"/>
              <w:left w:w="240" w:type="dxa"/>
              <w:bottom w:w="150" w:type="dxa"/>
              <w:right w:w="240" w:type="dxa"/>
            </w:tcMar>
            <w:vAlign w:val="center"/>
          </w:tcPr>
          <w:p w14:paraId="148425D5">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纸质投标文件装订要求（中标单位提供）</w:t>
            </w:r>
          </w:p>
        </w:tc>
        <w:tc>
          <w:tcPr>
            <w:tcW w:w="3368" w:type="dxa"/>
            <w:shd w:val="clear" w:color="auto" w:fill="auto"/>
            <w:tcMar>
              <w:top w:w="150" w:type="dxa"/>
              <w:left w:w="240" w:type="dxa"/>
              <w:bottom w:w="150" w:type="dxa"/>
              <w:right w:w="240" w:type="dxa"/>
            </w:tcMar>
            <w:vAlign w:val="center"/>
          </w:tcPr>
          <w:p w14:paraId="346B0B85">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1. 投标文件的正本与副本应分别装订成册。</w:t>
            </w:r>
            <w:r>
              <w:rPr>
                <w:rFonts w:hint="eastAsia" w:ascii="黑体" w:hAnsi="黑体" w:eastAsia="黑体" w:cs="黑体"/>
                <w:color w:val="0F1115"/>
                <w:sz w:val="21"/>
                <w:szCs w:val="21"/>
                <w:shd w:val="clear" w:color="auto" w:fill="FFFFFF"/>
              </w:rPr>
              <w:br w:type="textWrapping"/>
            </w:r>
            <w:r>
              <w:rPr>
                <w:rFonts w:hint="eastAsia" w:ascii="黑体" w:hAnsi="黑体" w:eastAsia="黑体" w:cs="黑体"/>
                <w:color w:val="0F1115"/>
                <w:sz w:val="21"/>
                <w:szCs w:val="21"/>
                <w:shd w:val="clear" w:color="auto" w:fill="FFFFFF"/>
              </w:rPr>
              <w:t>2. 投标文件每册均须采用胶装方式在左侧装订。</w:t>
            </w:r>
            <w:r>
              <w:rPr>
                <w:rFonts w:hint="eastAsia" w:ascii="黑体" w:hAnsi="黑体" w:eastAsia="黑体" w:cs="黑体"/>
                <w:color w:val="0F1115"/>
                <w:sz w:val="21"/>
                <w:szCs w:val="21"/>
                <w:shd w:val="clear" w:color="auto" w:fill="FFFFFF"/>
              </w:rPr>
              <w:br w:type="textWrapping"/>
            </w:r>
            <w:r>
              <w:rPr>
                <w:rFonts w:hint="eastAsia" w:ascii="黑体" w:hAnsi="黑体" w:eastAsia="黑体" w:cs="黑体"/>
                <w:color w:val="0F1115"/>
                <w:sz w:val="21"/>
                <w:szCs w:val="21"/>
                <w:shd w:val="clear" w:color="auto" w:fill="FFFFFF"/>
              </w:rPr>
              <w:t>3. 封面标记“正本”或“副本”。</w:t>
            </w:r>
            <w:r>
              <w:rPr>
                <w:rFonts w:hint="eastAsia" w:ascii="黑体" w:hAnsi="黑体" w:eastAsia="黑体" w:cs="黑体"/>
                <w:color w:val="0F1115"/>
                <w:sz w:val="21"/>
                <w:szCs w:val="21"/>
                <w:shd w:val="clear" w:color="auto" w:fill="FFFFFF"/>
              </w:rPr>
              <w:br w:type="textWrapping"/>
            </w:r>
            <w:r>
              <w:rPr>
                <w:rFonts w:hint="eastAsia" w:ascii="黑体" w:hAnsi="黑体" w:eastAsia="黑体" w:cs="黑体"/>
                <w:color w:val="0F1115"/>
                <w:sz w:val="21"/>
                <w:szCs w:val="21"/>
                <w:shd w:val="clear" w:color="auto" w:fill="FFFFFF"/>
              </w:rPr>
              <w:t>4. 中标单位收到中标通知书后3日内，需将纸质投标文件邮寄到山东省济南市官庄街道青野村东，济南黄河爆破工程有限责任公司，收件人：于工，电话：17860611790。</w:t>
            </w:r>
          </w:p>
        </w:tc>
        <w:tc>
          <w:tcPr>
            <w:tcW w:w="3077" w:type="dxa"/>
            <w:shd w:val="clear" w:color="auto" w:fill="auto"/>
            <w:tcMar>
              <w:top w:w="150" w:type="dxa"/>
              <w:left w:w="240" w:type="dxa"/>
              <w:bottom w:w="150" w:type="dxa"/>
              <w:right w:w="0" w:type="dxa"/>
            </w:tcMar>
            <w:vAlign w:val="center"/>
          </w:tcPr>
          <w:p w14:paraId="5B8CD540">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1. 投标文件的正本与副本应分别装订成册。</w:t>
            </w:r>
            <w:r>
              <w:rPr>
                <w:rFonts w:hint="eastAsia" w:ascii="黑体" w:hAnsi="黑体" w:eastAsia="黑体" w:cs="黑体"/>
                <w:color w:val="0F1115"/>
                <w:sz w:val="21"/>
                <w:szCs w:val="21"/>
                <w:shd w:val="clear" w:color="auto" w:fill="FFFFFF"/>
              </w:rPr>
              <w:br w:type="textWrapping"/>
            </w:r>
            <w:r>
              <w:rPr>
                <w:rFonts w:hint="eastAsia" w:ascii="黑体" w:hAnsi="黑体" w:eastAsia="黑体" w:cs="黑体"/>
                <w:color w:val="0F1115"/>
                <w:sz w:val="21"/>
                <w:szCs w:val="21"/>
                <w:shd w:val="clear" w:color="auto" w:fill="FFFFFF"/>
              </w:rPr>
              <w:t>2. 投标文件每册均须采用胶装方式在左侧装订。</w:t>
            </w:r>
            <w:r>
              <w:rPr>
                <w:rFonts w:hint="eastAsia" w:ascii="黑体" w:hAnsi="黑体" w:eastAsia="黑体" w:cs="黑体"/>
                <w:color w:val="0F1115"/>
                <w:sz w:val="21"/>
                <w:szCs w:val="21"/>
                <w:shd w:val="clear" w:color="auto" w:fill="FFFFFF"/>
              </w:rPr>
              <w:br w:type="textWrapping"/>
            </w:r>
            <w:r>
              <w:rPr>
                <w:rFonts w:hint="eastAsia" w:ascii="黑体" w:hAnsi="黑体" w:eastAsia="黑体" w:cs="黑体"/>
                <w:color w:val="0F1115"/>
                <w:sz w:val="21"/>
                <w:szCs w:val="21"/>
                <w:shd w:val="clear" w:color="auto" w:fill="FFFFFF"/>
              </w:rPr>
              <w:t>3. 封面标记“正本”或“副本”。</w:t>
            </w:r>
            <w:r>
              <w:rPr>
                <w:rFonts w:hint="eastAsia" w:ascii="黑体" w:hAnsi="黑体" w:eastAsia="黑体" w:cs="黑体"/>
                <w:color w:val="0F1115"/>
                <w:sz w:val="21"/>
                <w:szCs w:val="21"/>
                <w:shd w:val="clear" w:color="auto" w:fill="FFFFFF"/>
              </w:rPr>
              <w:br w:type="textWrapping"/>
            </w:r>
            <w:r>
              <w:rPr>
                <w:rFonts w:hint="eastAsia" w:ascii="黑体" w:hAnsi="黑体" w:eastAsia="黑体" w:cs="黑体"/>
                <w:color w:val="0F1115"/>
                <w:sz w:val="21"/>
                <w:szCs w:val="21"/>
                <w:shd w:val="clear" w:color="auto" w:fill="FFFFFF"/>
              </w:rPr>
              <w:t>4. 中标单位收到中标通知书后3日内，需将纸质投标文件邮寄到山东省济南市官庄街道青野村东，济南黄河爆破工程有限责任公司，收件人：于工，电话：17860611790。</w:t>
            </w:r>
          </w:p>
        </w:tc>
      </w:tr>
      <w:tr w14:paraId="0483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48" w:hRule="exact"/>
        </w:trPr>
        <w:tc>
          <w:tcPr>
            <w:tcW w:w="0" w:type="auto"/>
            <w:shd w:val="clear" w:color="auto" w:fill="auto"/>
            <w:tcMar>
              <w:top w:w="150" w:type="dxa"/>
              <w:left w:w="0" w:type="dxa"/>
              <w:bottom w:w="150" w:type="dxa"/>
              <w:right w:w="240" w:type="dxa"/>
            </w:tcMar>
            <w:vAlign w:val="center"/>
          </w:tcPr>
          <w:p w14:paraId="61662942">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5.1.1</w:t>
            </w:r>
          </w:p>
        </w:tc>
        <w:tc>
          <w:tcPr>
            <w:tcW w:w="0" w:type="auto"/>
            <w:shd w:val="clear" w:color="auto" w:fill="auto"/>
            <w:tcMar>
              <w:top w:w="150" w:type="dxa"/>
              <w:left w:w="240" w:type="dxa"/>
              <w:bottom w:w="150" w:type="dxa"/>
              <w:right w:w="240" w:type="dxa"/>
            </w:tcMar>
            <w:vAlign w:val="center"/>
          </w:tcPr>
          <w:p w14:paraId="6C6E8CEA">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开标时间和地点</w:t>
            </w:r>
          </w:p>
        </w:tc>
        <w:tc>
          <w:tcPr>
            <w:tcW w:w="3368" w:type="dxa"/>
            <w:shd w:val="clear" w:color="auto" w:fill="auto"/>
            <w:tcMar>
              <w:top w:w="150" w:type="dxa"/>
              <w:left w:w="240" w:type="dxa"/>
              <w:bottom w:w="150" w:type="dxa"/>
              <w:right w:w="240" w:type="dxa"/>
            </w:tcMar>
            <w:vAlign w:val="center"/>
          </w:tcPr>
          <w:p w14:paraId="6B9CFB90">
            <w:pPr>
              <w:pStyle w:val="16"/>
              <w:widowControl/>
              <w:jc w:val="left"/>
              <w:rPr>
                <w:rFonts w:ascii="黑体" w:hAnsi="黑体" w:eastAsia="黑体" w:cs="黑体"/>
                <w:color w:val="0F1115"/>
                <w:sz w:val="21"/>
                <w:szCs w:val="21"/>
                <w:highlight w:val="none"/>
                <w:shd w:val="clear" w:color="auto" w:fill="FFFFFF"/>
              </w:rPr>
            </w:pPr>
            <w:r>
              <w:rPr>
                <w:rFonts w:hint="eastAsia" w:ascii="黑体" w:hAnsi="黑体" w:eastAsia="黑体" w:cs="黑体"/>
                <w:color w:val="0F1115"/>
                <w:sz w:val="21"/>
                <w:szCs w:val="21"/>
                <w:highlight w:val="none"/>
                <w:shd w:val="clear" w:color="auto" w:fill="FFFFFF"/>
              </w:rPr>
              <w:t>开标时间：</w:t>
            </w:r>
            <w:r>
              <w:rPr>
                <w:rFonts w:hint="eastAsia" w:ascii="黑体" w:hAnsi="黑体" w:eastAsia="黑体" w:cs="黑体"/>
                <w:color w:val="0F1115"/>
                <w:sz w:val="21"/>
                <w:szCs w:val="21"/>
                <w:highlight w:val="none"/>
                <w:shd w:val="clear" w:color="auto" w:fill="FFFFFF"/>
                <w:lang w:val="en-US" w:eastAsia="zh-CN"/>
              </w:rPr>
              <w:t>2026</w:t>
            </w:r>
            <w:r>
              <w:rPr>
                <w:rFonts w:hint="eastAsia" w:ascii="黑体" w:hAnsi="黑体" w:eastAsia="黑体" w:cs="黑体"/>
                <w:color w:val="0F1115"/>
                <w:sz w:val="21"/>
                <w:szCs w:val="21"/>
                <w:highlight w:val="none"/>
                <w:shd w:val="clear" w:color="auto" w:fill="FFFFFF"/>
              </w:rPr>
              <w:t>年</w:t>
            </w:r>
            <w:r>
              <w:rPr>
                <w:rFonts w:hint="eastAsia" w:ascii="黑体" w:hAnsi="黑体" w:eastAsia="黑体" w:cs="黑体"/>
                <w:color w:val="0F1115"/>
                <w:sz w:val="21"/>
                <w:szCs w:val="21"/>
                <w:highlight w:val="none"/>
                <w:shd w:val="clear" w:color="auto" w:fill="FFFFFF"/>
                <w:lang w:val="en-US" w:eastAsia="zh-CN"/>
              </w:rPr>
              <w:t>2</w:t>
            </w:r>
            <w:r>
              <w:rPr>
                <w:rFonts w:hint="eastAsia" w:ascii="黑体" w:hAnsi="黑体" w:eastAsia="黑体" w:cs="黑体"/>
                <w:color w:val="0F1115"/>
                <w:sz w:val="21"/>
                <w:szCs w:val="21"/>
                <w:highlight w:val="none"/>
                <w:shd w:val="clear" w:color="auto" w:fill="FFFFFF"/>
              </w:rPr>
              <w:t>月</w:t>
            </w:r>
            <w:r>
              <w:rPr>
                <w:rFonts w:hint="eastAsia" w:ascii="黑体" w:hAnsi="黑体" w:eastAsia="黑体" w:cs="黑体"/>
                <w:color w:val="0F1115"/>
                <w:sz w:val="21"/>
                <w:szCs w:val="21"/>
                <w:highlight w:val="none"/>
                <w:shd w:val="clear" w:color="auto" w:fill="FFFFFF"/>
                <w:lang w:val="en-US" w:eastAsia="zh-CN"/>
              </w:rPr>
              <w:t>4</w:t>
            </w:r>
            <w:r>
              <w:rPr>
                <w:rFonts w:hint="eastAsia" w:ascii="黑体" w:hAnsi="黑体" w:eastAsia="黑体" w:cs="黑体"/>
                <w:color w:val="0F1115"/>
                <w:sz w:val="21"/>
                <w:szCs w:val="21"/>
                <w:highlight w:val="none"/>
                <w:shd w:val="clear" w:color="auto" w:fill="FFFFFF"/>
              </w:rPr>
              <w:t>日上午</w:t>
            </w:r>
            <w:r>
              <w:rPr>
                <w:rFonts w:hint="eastAsia" w:ascii="黑体" w:hAnsi="黑体" w:eastAsia="黑体" w:cs="黑体"/>
                <w:color w:val="0F1115"/>
                <w:sz w:val="21"/>
                <w:szCs w:val="21"/>
                <w:highlight w:val="none"/>
                <w:shd w:val="clear" w:color="auto" w:fill="FFFFFF"/>
                <w:lang w:val="en-US" w:eastAsia="zh-CN"/>
              </w:rPr>
              <w:t>9</w:t>
            </w:r>
            <w:r>
              <w:rPr>
                <w:rFonts w:hint="eastAsia" w:ascii="黑体" w:hAnsi="黑体" w:eastAsia="黑体" w:cs="黑体"/>
                <w:color w:val="0F1115"/>
                <w:sz w:val="21"/>
                <w:szCs w:val="21"/>
                <w:highlight w:val="none"/>
                <w:shd w:val="clear" w:color="auto" w:fill="FFFFFF"/>
              </w:rPr>
              <w:t>时</w:t>
            </w:r>
            <w:r>
              <w:rPr>
                <w:rFonts w:hint="eastAsia" w:ascii="黑体" w:hAnsi="黑体" w:eastAsia="黑体" w:cs="黑体"/>
                <w:color w:val="0F1115"/>
                <w:sz w:val="21"/>
                <w:szCs w:val="21"/>
                <w:highlight w:val="none"/>
                <w:shd w:val="clear" w:color="auto" w:fill="FFFFFF"/>
              </w:rPr>
              <w:br w:type="textWrapping"/>
            </w:r>
            <w:r>
              <w:rPr>
                <w:rFonts w:hint="eastAsia" w:ascii="黑体" w:hAnsi="黑体" w:eastAsia="黑体" w:cs="黑体"/>
                <w:color w:val="0F1115"/>
                <w:sz w:val="21"/>
                <w:szCs w:val="21"/>
                <w:highlight w:val="none"/>
                <w:shd w:val="clear" w:color="auto" w:fill="FFFFFF"/>
              </w:rPr>
              <w:t>开标地点：网上开标</w:t>
            </w:r>
          </w:p>
        </w:tc>
        <w:tc>
          <w:tcPr>
            <w:tcW w:w="3077" w:type="dxa"/>
            <w:shd w:val="clear" w:color="auto" w:fill="auto"/>
            <w:tcMar>
              <w:top w:w="150" w:type="dxa"/>
              <w:left w:w="240" w:type="dxa"/>
              <w:bottom w:w="150" w:type="dxa"/>
              <w:right w:w="0" w:type="dxa"/>
            </w:tcMar>
            <w:vAlign w:val="center"/>
          </w:tcPr>
          <w:p w14:paraId="12E967E6">
            <w:pPr>
              <w:pStyle w:val="16"/>
              <w:widowControl/>
              <w:jc w:val="left"/>
              <w:rPr>
                <w:rFonts w:ascii="黑体" w:hAnsi="黑体" w:eastAsia="黑体" w:cs="黑体"/>
                <w:color w:val="0F1115"/>
                <w:sz w:val="21"/>
                <w:szCs w:val="21"/>
                <w:highlight w:val="none"/>
                <w:shd w:val="clear" w:color="auto" w:fill="FFFFFF"/>
              </w:rPr>
            </w:pPr>
            <w:r>
              <w:rPr>
                <w:rFonts w:hint="eastAsia" w:ascii="黑体" w:hAnsi="黑体" w:eastAsia="黑体" w:cs="黑体"/>
                <w:color w:val="0F1115"/>
                <w:sz w:val="21"/>
                <w:szCs w:val="21"/>
                <w:highlight w:val="none"/>
                <w:shd w:val="clear" w:color="auto" w:fill="FFFFFF"/>
              </w:rPr>
              <w:t>开标时间：</w:t>
            </w:r>
            <w:r>
              <w:rPr>
                <w:rFonts w:hint="eastAsia" w:ascii="黑体" w:hAnsi="黑体" w:eastAsia="黑体" w:cs="黑体"/>
                <w:color w:val="0F1115"/>
                <w:sz w:val="21"/>
                <w:szCs w:val="21"/>
                <w:highlight w:val="none"/>
                <w:shd w:val="clear" w:color="auto" w:fill="FFFFFF"/>
                <w:lang w:val="en-US" w:eastAsia="zh-CN"/>
              </w:rPr>
              <w:t>2026</w:t>
            </w:r>
            <w:r>
              <w:rPr>
                <w:rFonts w:hint="eastAsia" w:ascii="黑体" w:hAnsi="黑体" w:eastAsia="黑体" w:cs="黑体"/>
                <w:color w:val="0F1115"/>
                <w:sz w:val="21"/>
                <w:szCs w:val="21"/>
                <w:highlight w:val="none"/>
                <w:shd w:val="clear" w:color="auto" w:fill="FFFFFF"/>
              </w:rPr>
              <w:t>年</w:t>
            </w:r>
            <w:r>
              <w:rPr>
                <w:rFonts w:hint="eastAsia" w:ascii="黑体" w:hAnsi="黑体" w:eastAsia="黑体" w:cs="黑体"/>
                <w:color w:val="0F1115"/>
                <w:sz w:val="21"/>
                <w:szCs w:val="21"/>
                <w:highlight w:val="none"/>
                <w:shd w:val="clear" w:color="auto" w:fill="FFFFFF"/>
                <w:lang w:val="en-US" w:eastAsia="zh-CN"/>
              </w:rPr>
              <w:t>2</w:t>
            </w:r>
            <w:r>
              <w:rPr>
                <w:rFonts w:hint="eastAsia" w:ascii="黑体" w:hAnsi="黑体" w:eastAsia="黑体" w:cs="黑体"/>
                <w:color w:val="0F1115"/>
                <w:sz w:val="21"/>
                <w:szCs w:val="21"/>
                <w:highlight w:val="none"/>
                <w:shd w:val="clear" w:color="auto" w:fill="FFFFFF"/>
              </w:rPr>
              <w:t>月</w:t>
            </w:r>
            <w:r>
              <w:rPr>
                <w:rFonts w:hint="eastAsia" w:ascii="黑体" w:hAnsi="黑体" w:eastAsia="黑体" w:cs="黑体"/>
                <w:color w:val="0F1115"/>
                <w:sz w:val="21"/>
                <w:szCs w:val="21"/>
                <w:highlight w:val="none"/>
                <w:shd w:val="clear" w:color="auto" w:fill="FFFFFF"/>
                <w:lang w:val="en-US" w:eastAsia="zh-CN"/>
              </w:rPr>
              <w:t>4</w:t>
            </w:r>
            <w:r>
              <w:rPr>
                <w:rFonts w:hint="eastAsia" w:ascii="黑体" w:hAnsi="黑体" w:eastAsia="黑体" w:cs="黑体"/>
                <w:color w:val="0F1115"/>
                <w:sz w:val="21"/>
                <w:szCs w:val="21"/>
                <w:highlight w:val="none"/>
                <w:shd w:val="clear" w:color="auto" w:fill="FFFFFF"/>
              </w:rPr>
              <w:t>日上午</w:t>
            </w:r>
            <w:r>
              <w:rPr>
                <w:rFonts w:hint="eastAsia" w:ascii="黑体" w:hAnsi="黑体" w:eastAsia="黑体" w:cs="黑体"/>
                <w:color w:val="0F1115"/>
                <w:sz w:val="21"/>
                <w:szCs w:val="21"/>
                <w:highlight w:val="none"/>
                <w:shd w:val="clear" w:color="auto" w:fill="FFFFFF"/>
                <w:lang w:val="en-US" w:eastAsia="zh-CN"/>
              </w:rPr>
              <w:t>9</w:t>
            </w:r>
            <w:r>
              <w:rPr>
                <w:rFonts w:hint="eastAsia" w:ascii="黑体" w:hAnsi="黑体" w:eastAsia="黑体" w:cs="黑体"/>
                <w:color w:val="0F1115"/>
                <w:sz w:val="21"/>
                <w:szCs w:val="21"/>
                <w:highlight w:val="none"/>
                <w:shd w:val="clear" w:color="auto" w:fill="FFFFFF"/>
              </w:rPr>
              <w:t>时</w:t>
            </w:r>
            <w:r>
              <w:rPr>
                <w:rFonts w:hint="eastAsia" w:ascii="黑体" w:hAnsi="黑体" w:eastAsia="黑体" w:cs="黑体"/>
                <w:color w:val="0F1115"/>
                <w:sz w:val="21"/>
                <w:szCs w:val="21"/>
                <w:highlight w:val="none"/>
                <w:shd w:val="clear" w:color="auto" w:fill="FFFFFF"/>
              </w:rPr>
              <w:br w:type="textWrapping"/>
            </w:r>
            <w:r>
              <w:rPr>
                <w:rFonts w:hint="eastAsia" w:ascii="黑体" w:hAnsi="黑体" w:eastAsia="黑体" w:cs="黑体"/>
                <w:color w:val="0F1115"/>
                <w:sz w:val="21"/>
                <w:szCs w:val="21"/>
                <w:highlight w:val="none"/>
                <w:shd w:val="clear" w:color="auto" w:fill="FFFFFF"/>
              </w:rPr>
              <w:t>开标地点：网上开标</w:t>
            </w:r>
          </w:p>
        </w:tc>
      </w:tr>
      <w:tr w14:paraId="6305E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90" w:hRule="exact"/>
        </w:trPr>
        <w:tc>
          <w:tcPr>
            <w:tcW w:w="0" w:type="auto"/>
            <w:shd w:val="clear" w:color="auto" w:fill="auto"/>
            <w:tcMar>
              <w:top w:w="150" w:type="dxa"/>
              <w:left w:w="0" w:type="dxa"/>
              <w:bottom w:w="150" w:type="dxa"/>
              <w:right w:w="240" w:type="dxa"/>
            </w:tcMar>
            <w:vAlign w:val="center"/>
          </w:tcPr>
          <w:p w14:paraId="37657670">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6.1.1</w:t>
            </w:r>
          </w:p>
        </w:tc>
        <w:tc>
          <w:tcPr>
            <w:tcW w:w="0" w:type="auto"/>
            <w:shd w:val="clear" w:color="auto" w:fill="auto"/>
            <w:tcMar>
              <w:top w:w="150" w:type="dxa"/>
              <w:left w:w="240" w:type="dxa"/>
              <w:bottom w:w="150" w:type="dxa"/>
              <w:right w:w="240" w:type="dxa"/>
            </w:tcMar>
            <w:vAlign w:val="center"/>
          </w:tcPr>
          <w:p w14:paraId="46689ECF">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履约保证金</w:t>
            </w:r>
          </w:p>
        </w:tc>
        <w:tc>
          <w:tcPr>
            <w:tcW w:w="3368" w:type="dxa"/>
            <w:shd w:val="clear" w:color="auto" w:fill="auto"/>
            <w:tcMar>
              <w:top w:w="150" w:type="dxa"/>
              <w:left w:w="240" w:type="dxa"/>
              <w:bottom w:w="150" w:type="dxa"/>
              <w:right w:w="240" w:type="dxa"/>
            </w:tcMar>
            <w:vAlign w:val="center"/>
          </w:tcPr>
          <w:p w14:paraId="5C6039A5">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伍万元整（￥50000元），招标人通知中标人中标公示3日内缴纳，逾期视为放弃。</w:t>
            </w:r>
          </w:p>
        </w:tc>
        <w:tc>
          <w:tcPr>
            <w:tcW w:w="3077" w:type="dxa"/>
            <w:shd w:val="clear" w:color="auto" w:fill="auto"/>
            <w:tcMar>
              <w:top w:w="150" w:type="dxa"/>
              <w:left w:w="240" w:type="dxa"/>
              <w:bottom w:w="150" w:type="dxa"/>
              <w:right w:w="0" w:type="dxa"/>
            </w:tcMar>
            <w:vAlign w:val="center"/>
          </w:tcPr>
          <w:p w14:paraId="0DBB50AA">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贰万元整（￥20000元），招标人通知中标人中标公示3日内缴纳，逾期视为放弃。</w:t>
            </w:r>
          </w:p>
        </w:tc>
      </w:tr>
      <w:tr w14:paraId="4011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0" w:hRule="exact"/>
        </w:trPr>
        <w:tc>
          <w:tcPr>
            <w:tcW w:w="0" w:type="auto"/>
            <w:shd w:val="clear" w:color="auto" w:fill="auto"/>
            <w:tcMar>
              <w:top w:w="150" w:type="dxa"/>
              <w:left w:w="0" w:type="dxa"/>
              <w:bottom w:w="150" w:type="dxa"/>
              <w:right w:w="240" w:type="dxa"/>
            </w:tcMar>
            <w:vAlign w:val="center"/>
          </w:tcPr>
          <w:p w14:paraId="0C17168F">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7.1.1</w:t>
            </w:r>
          </w:p>
        </w:tc>
        <w:tc>
          <w:tcPr>
            <w:tcW w:w="0" w:type="auto"/>
            <w:shd w:val="clear" w:color="auto" w:fill="auto"/>
            <w:tcMar>
              <w:top w:w="150" w:type="dxa"/>
              <w:left w:w="240" w:type="dxa"/>
              <w:bottom w:w="150" w:type="dxa"/>
              <w:right w:w="240" w:type="dxa"/>
            </w:tcMar>
            <w:vAlign w:val="center"/>
          </w:tcPr>
          <w:p w14:paraId="396E9A16">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中标服务费</w:t>
            </w:r>
          </w:p>
        </w:tc>
        <w:tc>
          <w:tcPr>
            <w:tcW w:w="3368" w:type="dxa"/>
            <w:shd w:val="clear" w:color="auto" w:fill="auto"/>
            <w:tcMar>
              <w:top w:w="150" w:type="dxa"/>
              <w:left w:w="240" w:type="dxa"/>
              <w:bottom w:w="150" w:type="dxa"/>
              <w:right w:w="240" w:type="dxa"/>
            </w:tcMar>
            <w:vAlign w:val="center"/>
          </w:tcPr>
          <w:p w14:paraId="62D63EB2">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无</w:t>
            </w:r>
          </w:p>
        </w:tc>
        <w:tc>
          <w:tcPr>
            <w:tcW w:w="3077" w:type="dxa"/>
            <w:shd w:val="clear" w:color="auto" w:fill="auto"/>
            <w:tcMar>
              <w:top w:w="150" w:type="dxa"/>
              <w:left w:w="240" w:type="dxa"/>
              <w:bottom w:w="150" w:type="dxa"/>
              <w:right w:w="0" w:type="dxa"/>
            </w:tcMar>
            <w:vAlign w:val="center"/>
          </w:tcPr>
          <w:p w14:paraId="53A23901">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无</w:t>
            </w:r>
          </w:p>
        </w:tc>
      </w:tr>
      <w:tr w14:paraId="4E797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51" w:hRule="exact"/>
        </w:trPr>
        <w:tc>
          <w:tcPr>
            <w:tcW w:w="0" w:type="auto"/>
            <w:shd w:val="clear" w:color="auto" w:fill="auto"/>
            <w:tcMar>
              <w:top w:w="150" w:type="dxa"/>
              <w:left w:w="0" w:type="dxa"/>
              <w:bottom w:w="150" w:type="dxa"/>
              <w:right w:w="240" w:type="dxa"/>
            </w:tcMar>
            <w:vAlign w:val="center"/>
          </w:tcPr>
          <w:p w14:paraId="72F0D22F">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8.1.1</w:t>
            </w:r>
          </w:p>
        </w:tc>
        <w:tc>
          <w:tcPr>
            <w:tcW w:w="0" w:type="auto"/>
            <w:shd w:val="clear" w:color="auto" w:fill="auto"/>
            <w:tcMar>
              <w:top w:w="150" w:type="dxa"/>
              <w:left w:w="240" w:type="dxa"/>
              <w:bottom w:w="150" w:type="dxa"/>
              <w:right w:w="240" w:type="dxa"/>
            </w:tcMar>
            <w:vAlign w:val="center"/>
          </w:tcPr>
          <w:p w14:paraId="59A64B91">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开标程序</w:t>
            </w:r>
          </w:p>
        </w:tc>
        <w:tc>
          <w:tcPr>
            <w:tcW w:w="3368" w:type="dxa"/>
            <w:shd w:val="clear" w:color="auto" w:fill="auto"/>
            <w:tcMar>
              <w:top w:w="150" w:type="dxa"/>
              <w:left w:w="240" w:type="dxa"/>
              <w:bottom w:w="150" w:type="dxa"/>
              <w:right w:w="240" w:type="dxa"/>
            </w:tcMar>
            <w:vAlign w:val="center"/>
          </w:tcPr>
          <w:p w14:paraId="70D29C35">
            <w:pPr>
              <w:pStyle w:val="16"/>
              <w:widowControl/>
              <w:numPr>
                <w:ilvl w:val="0"/>
                <w:numId w:val="3"/>
              </w:numPr>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公开唱标，包括投标人名称、报价等信息。</w:t>
            </w:r>
          </w:p>
          <w:p w14:paraId="236A33E0">
            <w:pPr>
              <w:pStyle w:val="16"/>
              <w:widowControl/>
              <w:numPr>
                <w:ilvl w:val="0"/>
                <w:numId w:val="3"/>
              </w:numPr>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评审过程中，如需澄清，投标人须在规定时间内解答。</w:t>
            </w:r>
          </w:p>
          <w:p w14:paraId="3F1A5C02">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3.A包投标人不足3家的，不得开标。</w:t>
            </w:r>
          </w:p>
        </w:tc>
        <w:tc>
          <w:tcPr>
            <w:tcW w:w="3077" w:type="dxa"/>
            <w:shd w:val="clear" w:color="auto" w:fill="auto"/>
            <w:tcMar>
              <w:top w:w="150" w:type="dxa"/>
              <w:left w:w="240" w:type="dxa"/>
              <w:bottom w:w="150" w:type="dxa"/>
              <w:right w:w="0" w:type="dxa"/>
            </w:tcMar>
            <w:vAlign w:val="center"/>
          </w:tcPr>
          <w:p w14:paraId="23D12A5F">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1. 公开唱标，包括投标人名称、报价等信息。</w:t>
            </w:r>
          </w:p>
          <w:p w14:paraId="0BB54B13">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2. 评审过程中，如需澄清，投标人须在规定时间内解答。</w:t>
            </w:r>
          </w:p>
          <w:p w14:paraId="6836A63A">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3.B包投标人不足3家的，不得开标。</w:t>
            </w:r>
          </w:p>
        </w:tc>
      </w:tr>
      <w:tr w14:paraId="5A6C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18" w:hRule="exact"/>
        </w:trPr>
        <w:tc>
          <w:tcPr>
            <w:tcW w:w="0" w:type="auto"/>
            <w:shd w:val="clear" w:color="auto" w:fill="auto"/>
            <w:tcMar>
              <w:top w:w="150" w:type="dxa"/>
              <w:left w:w="0" w:type="dxa"/>
              <w:bottom w:w="150" w:type="dxa"/>
              <w:right w:w="240" w:type="dxa"/>
            </w:tcMar>
            <w:vAlign w:val="center"/>
          </w:tcPr>
          <w:p w14:paraId="07637760">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9.1.1</w:t>
            </w:r>
          </w:p>
        </w:tc>
        <w:tc>
          <w:tcPr>
            <w:tcW w:w="0" w:type="auto"/>
            <w:shd w:val="clear" w:color="auto" w:fill="auto"/>
            <w:tcMar>
              <w:top w:w="150" w:type="dxa"/>
              <w:left w:w="240" w:type="dxa"/>
              <w:bottom w:w="150" w:type="dxa"/>
              <w:right w:w="240" w:type="dxa"/>
            </w:tcMar>
            <w:vAlign w:val="center"/>
          </w:tcPr>
          <w:p w14:paraId="0457BBB2">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招标控制价</w:t>
            </w:r>
          </w:p>
        </w:tc>
        <w:tc>
          <w:tcPr>
            <w:tcW w:w="3368" w:type="dxa"/>
            <w:shd w:val="clear" w:color="auto" w:fill="auto"/>
            <w:tcMar>
              <w:top w:w="150" w:type="dxa"/>
              <w:left w:w="240" w:type="dxa"/>
              <w:bottom w:w="150" w:type="dxa"/>
              <w:right w:w="240" w:type="dxa"/>
            </w:tcMar>
            <w:vAlign w:val="center"/>
          </w:tcPr>
          <w:p w14:paraId="08F44565">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A包招标控制价：110万元</w:t>
            </w:r>
          </w:p>
        </w:tc>
        <w:tc>
          <w:tcPr>
            <w:tcW w:w="3077" w:type="dxa"/>
            <w:shd w:val="clear" w:color="auto" w:fill="auto"/>
            <w:tcMar>
              <w:top w:w="150" w:type="dxa"/>
              <w:left w:w="240" w:type="dxa"/>
              <w:bottom w:w="150" w:type="dxa"/>
              <w:right w:w="0" w:type="dxa"/>
            </w:tcMar>
            <w:vAlign w:val="center"/>
          </w:tcPr>
          <w:p w14:paraId="47D1AB31">
            <w:pPr>
              <w:pStyle w:val="16"/>
              <w:widowControl/>
              <w:jc w:val="left"/>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B包招标控制价：23.4万元</w:t>
            </w:r>
          </w:p>
        </w:tc>
      </w:tr>
    </w:tbl>
    <w:p w14:paraId="51EBA2CB">
      <w:pPr>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br w:type="page"/>
      </w:r>
    </w:p>
    <w:p w14:paraId="3513797E">
      <w:pPr>
        <w:pStyle w:val="26"/>
        <w:widowControl/>
        <w:spacing w:before="0" w:line="300" w:lineRule="auto"/>
        <w:ind w:firstLine="2249" w:firstLineChars="700"/>
        <w:outlineLvl w:val="9"/>
        <w:rPr>
          <w:rFonts w:ascii="仿宋_GB2312" w:hAnsi="仿宋_GB2312" w:eastAsia="仿宋_GB2312" w:cs="仿宋_GB2312"/>
          <w:b/>
          <w:bCs/>
          <w:color w:val="000000"/>
          <w:sz w:val="32"/>
          <w:szCs w:val="32"/>
        </w:rPr>
      </w:pPr>
      <w:bookmarkStart w:id="2" w:name="_Toc25275"/>
      <w:r>
        <w:rPr>
          <w:rFonts w:hint="eastAsia" w:ascii="仿宋_GB2312" w:hAnsi="仿宋_GB2312" w:eastAsia="仿宋_GB2312" w:cs="仿宋_GB2312"/>
          <w:b/>
          <w:bCs/>
          <w:color w:val="000000"/>
          <w:sz w:val="32"/>
          <w:szCs w:val="32"/>
        </w:rPr>
        <w:t>投标人须知正文部分</w:t>
      </w:r>
      <w:bookmarkEnd w:id="2"/>
    </w:p>
    <w:p w14:paraId="4728A419">
      <w:pPr>
        <w:pStyle w:val="26"/>
        <w:widowControl/>
        <w:spacing w:before="0" w:line="592" w:lineRule="exact"/>
        <w:ind w:firstLine="640" w:firstLineChars="200"/>
        <w:rPr>
          <w:rFonts w:ascii="仿宋_GB2312" w:hAnsi="仿宋_GB2312" w:eastAsia="仿宋_GB2312" w:cs="仿宋_GB2312"/>
          <w:color w:val="000000"/>
          <w:sz w:val="32"/>
          <w:szCs w:val="32"/>
        </w:rPr>
      </w:pPr>
      <w:bookmarkStart w:id="3" w:name="_Toc13958"/>
      <w:bookmarkStart w:id="4" w:name="_Toc21633"/>
      <w:r>
        <w:rPr>
          <w:rFonts w:hint="eastAsia" w:ascii="仿宋_GB2312" w:hAnsi="仿宋_GB2312" w:eastAsia="仿宋_GB2312" w:cs="仿宋_GB2312"/>
          <w:color w:val="000000"/>
          <w:sz w:val="32"/>
          <w:szCs w:val="32"/>
        </w:rPr>
        <w:t>1. 总则</w:t>
      </w:r>
      <w:bookmarkEnd w:id="3"/>
      <w:bookmarkEnd w:id="4"/>
    </w:p>
    <w:p w14:paraId="7D2C3E4D">
      <w:pPr>
        <w:pStyle w:val="26"/>
        <w:widowControl/>
        <w:spacing w:before="0" w:line="592" w:lineRule="exact"/>
        <w:ind w:firstLine="640" w:firstLineChars="200"/>
        <w:rPr>
          <w:rFonts w:ascii="仿宋_GB2312" w:hAnsi="仿宋_GB2312" w:eastAsia="仿宋_GB2312" w:cs="仿宋_GB2312"/>
          <w:color w:val="000000"/>
          <w:sz w:val="32"/>
          <w:szCs w:val="32"/>
        </w:rPr>
      </w:pPr>
      <w:bookmarkStart w:id="5" w:name="_Toc12160"/>
      <w:bookmarkStart w:id="6" w:name="_Toc18593"/>
      <w:bookmarkStart w:id="7" w:name="_Toc7079"/>
      <w:r>
        <w:rPr>
          <w:rFonts w:hint="eastAsia" w:ascii="仿宋_GB2312" w:hAnsi="仿宋_GB2312" w:eastAsia="仿宋_GB2312" w:cs="仿宋_GB2312"/>
          <w:color w:val="000000"/>
          <w:sz w:val="32"/>
          <w:szCs w:val="32"/>
        </w:rPr>
        <w:t>1.1 项目概况</w:t>
      </w:r>
      <w:bookmarkEnd w:id="5"/>
      <w:bookmarkEnd w:id="6"/>
      <w:bookmarkEnd w:id="7"/>
    </w:p>
    <w:p w14:paraId="255F0D68">
      <w:pPr>
        <w:pStyle w:val="26"/>
        <w:widowControl/>
        <w:spacing w:before="0" w:line="592" w:lineRule="exact"/>
        <w:ind w:firstLine="640" w:firstLineChars="200"/>
        <w:rPr>
          <w:rFonts w:ascii="仿宋_GB2312" w:hAnsi="仿宋_GB2312" w:eastAsia="仿宋_GB2312" w:cs="仿宋_GB2312"/>
          <w:color w:val="000000"/>
          <w:sz w:val="32"/>
          <w:szCs w:val="32"/>
        </w:rPr>
      </w:pPr>
      <w:bookmarkStart w:id="8" w:name="_Toc9588"/>
      <w:bookmarkStart w:id="9" w:name="_Toc16966"/>
      <w:r>
        <w:rPr>
          <w:rFonts w:hint="eastAsia" w:ascii="仿宋_GB2312" w:hAnsi="仿宋_GB2312" w:eastAsia="仿宋_GB2312" w:cs="仿宋_GB2312"/>
          <w:color w:val="000000"/>
          <w:sz w:val="32"/>
          <w:szCs w:val="32"/>
        </w:rPr>
        <w:t>1.1.1根据《中华人民共和国招标投标法》、《中华人民共和国招标投标法实施条例》等有关法律、法规规定，本项目已具备招标条件，现采用公开招标方式对该项目施工进行招标；</w:t>
      </w:r>
      <w:bookmarkEnd w:id="8"/>
      <w:bookmarkEnd w:id="9"/>
    </w:p>
    <w:p w14:paraId="4A9204F4">
      <w:pPr>
        <w:pStyle w:val="26"/>
        <w:widowControl/>
        <w:spacing w:before="0" w:line="592" w:lineRule="exact"/>
        <w:ind w:firstLine="640" w:firstLineChars="200"/>
        <w:rPr>
          <w:rFonts w:ascii="仿宋_GB2312" w:hAnsi="仿宋_GB2312" w:eastAsia="仿宋_GB2312" w:cs="仿宋_GB2312"/>
          <w:color w:val="000000"/>
          <w:sz w:val="32"/>
          <w:szCs w:val="32"/>
        </w:rPr>
      </w:pPr>
      <w:bookmarkStart w:id="10" w:name="_Toc32162"/>
      <w:bookmarkStart w:id="11" w:name="_Toc21157"/>
      <w:r>
        <w:rPr>
          <w:rFonts w:hint="eastAsia" w:ascii="仿宋_GB2312" w:hAnsi="仿宋_GB2312" w:eastAsia="仿宋_GB2312" w:cs="仿宋_GB2312"/>
          <w:color w:val="000000"/>
          <w:sz w:val="32"/>
          <w:szCs w:val="32"/>
        </w:rPr>
        <w:t>1.1.2 本项目招标人：见投标人须知前附表；</w:t>
      </w:r>
      <w:bookmarkEnd w:id="10"/>
      <w:bookmarkEnd w:id="11"/>
    </w:p>
    <w:p w14:paraId="5ED4EAFE">
      <w:pPr>
        <w:pStyle w:val="26"/>
        <w:widowControl/>
        <w:spacing w:before="0" w:line="592" w:lineRule="exact"/>
        <w:ind w:firstLine="640" w:firstLineChars="200"/>
        <w:rPr>
          <w:rFonts w:ascii="仿宋_GB2312" w:hAnsi="仿宋_GB2312" w:eastAsia="仿宋_GB2312" w:cs="仿宋_GB2312"/>
          <w:color w:val="000000"/>
          <w:sz w:val="32"/>
          <w:szCs w:val="32"/>
        </w:rPr>
      </w:pPr>
      <w:bookmarkStart w:id="12" w:name="_Toc5010"/>
      <w:bookmarkStart w:id="13" w:name="_Toc18646"/>
      <w:r>
        <w:rPr>
          <w:rFonts w:hint="eastAsia" w:ascii="仿宋_GB2312" w:hAnsi="仿宋_GB2312" w:eastAsia="仿宋_GB2312" w:cs="仿宋_GB2312"/>
          <w:color w:val="000000"/>
          <w:sz w:val="32"/>
          <w:szCs w:val="32"/>
        </w:rPr>
        <w:t>1.1.3 本项目名称、招标编号：见投标人须知前附表；</w:t>
      </w:r>
      <w:bookmarkEnd w:id="12"/>
      <w:bookmarkEnd w:id="13"/>
    </w:p>
    <w:p w14:paraId="2947F0C2">
      <w:pPr>
        <w:pStyle w:val="26"/>
        <w:widowControl/>
        <w:spacing w:before="0" w:line="592" w:lineRule="exact"/>
        <w:ind w:firstLine="640" w:firstLineChars="200"/>
        <w:rPr>
          <w:rFonts w:ascii="仿宋_GB2312" w:hAnsi="仿宋_GB2312" w:eastAsia="仿宋_GB2312" w:cs="仿宋_GB2312"/>
          <w:color w:val="000000"/>
          <w:sz w:val="32"/>
          <w:szCs w:val="32"/>
        </w:rPr>
      </w:pPr>
      <w:bookmarkStart w:id="14" w:name="_Toc14506"/>
      <w:bookmarkStart w:id="15" w:name="_Toc11298"/>
      <w:r>
        <w:rPr>
          <w:rFonts w:hint="eastAsia" w:ascii="仿宋_GB2312" w:hAnsi="仿宋_GB2312" w:eastAsia="仿宋_GB2312" w:cs="仿宋_GB2312"/>
          <w:color w:val="000000"/>
          <w:sz w:val="32"/>
          <w:szCs w:val="32"/>
        </w:rPr>
        <w:t>1.1.4 本项目工程概况：见投标人须知前附表；</w:t>
      </w:r>
      <w:bookmarkEnd w:id="14"/>
      <w:bookmarkEnd w:id="15"/>
    </w:p>
    <w:p w14:paraId="47EC1E30">
      <w:pPr>
        <w:pStyle w:val="26"/>
        <w:widowControl/>
        <w:spacing w:before="0" w:line="592" w:lineRule="exact"/>
        <w:ind w:firstLine="640" w:firstLineChars="200"/>
        <w:rPr>
          <w:rFonts w:ascii="仿宋_GB2312" w:hAnsi="仿宋_GB2312" w:eastAsia="仿宋_GB2312" w:cs="仿宋_GB2312"/>
          <w:color w:val="000000"/>
          <w:sz w:val="32"/>
          <w:szCs w:val="32"/>
        </w:rPr>
      </w:pPr>
      <w:bookmarkStart w:id="16" w:name="_Toc6108"/>
      <w:bookmarkStart w:id="17" w:name="_Toc13078"/>
      <w:r>
        <w:rPr>
          <w:rFonts w:hint="eastAsia" w:ascii="仿宋_GB2312" w:hAnsi="仿宋_GB2312" w:eastAsia="仿宋_GB2312" w:cs="仿宋_GB2312"/>
          <w:color w:val="000000"/>
          <w:sz w:val="32"/>
          <w:szCs w:val="32"/>
        </w:rPr>
        <w:t>1.1.5 本项目建设地点：见投标人须知前附表。</w:t>
      </w:r>
      <w:bookmarkEnd w:id="16"/>
      <w:bookmarkEnd w:id="17"/>
    </w:p>
    <w:p w14:paraId="484EFDDD">
      <w:pPr>
        <w:pStyle w:val="26"/>
        <w:widowControl/>
        <w:spacing w:before="0" w:line="592" w:lineRule="exact"/>
        <w:ind w:firstLine="640" w:firstLineChars="200"/>
        <w:rPr>
          <w:rFonts w:ascii="仿宋_GB2312" w:hAnsi="仿宋_GB2312" w:eastAsia="仿宋_GB2312" w:cs="仿宋_GB2312"/>
          <w:color w:val="000000"/>
          <w:sz w:val="32"/>
          <w:szCs w:val="32"/>
        </w:rPr>
      </w:pPr>
      <w:bookmarkStart w:id="18" w:name="_Toc17511"/>
      <w:bookmarkStart w:id="19" w:name="_Toc17733"/>
      <w:bookmarkStart w:id="20" w:name="_Toc24945"/>
      <w:r>
        <w:rPr>
          <w:rFonts w:hint="eastAsia" w:ascii="仿宋_GB2312" w:hAnsi="仿宋_GB2312" w:eastAsia="仿宋_GB2312" w:cs="仿宋_GB2312"/>
          <w:color w:val="000000"/>
          <w:sz w:val="32"/>
          <w:szCs w:val="32"/>
        </w:rPr>
        <w:t>1.2资金来源、招标方式</w:t>
      </w:r>
      <w:bookmarkEnd w:id="18"/>
      <w:bookmarkEnd w:id="19"/>
      <w:bookmarkEnd w:id="20"/>
    </w:p>
    <w:p w14:paraId="196DECBE">
      <w:pPr>
        <w:pStyle w:val="26"/>
        <w:widowControl/>
        <w:spacing w:before="0" w:line="592" w:lineRule="exact"/>
        <w:ind w:firstLine="640" w:firstLineChars="200"/>
        <w:rPr>
          <w:rFonts w:ascii="仿宋_GB2312" w:hAnsi="仿宋_GB2312" w:eastAsia="仿宋_GB2312" w:cs="仿宋_GB2312"/>
          <w:color w:val="000000"/>
          <w:sz w:val="32"/>
          <w:szCs w:val="32"/>
        </w:rPr>
      </w:pPr>
      <w:bookmarkStart w:id="21" w:name="_Toc13277"/>
      <w:bookmarkStart w:id="22" w:name="_Toc30907"/>
      <w:r>
        <w:rPr>
          <w:rFonts w:hint="eastAsia" w:ascii="仿宋_GB2312" w:hAnsi="仿宋_GB2312" w:eastAsia="仿宋_GB2312" w:cs="仿宋_GB2312"/>
          <w:color w:val="000000"/>
          <w:sz w:val="32"/>
          <w:szCs w:val="32"/>
        </w:rPr>
        <w:t>1.2.1本项目资金来源见投标人须知前附表；</w:t>
      </w:r>
      <w:bookmarkEnd w:id="21"/>
      <w:bookmarkEnd w:id="22"/>
    </w:p>
    <w:p w14:paraId="291FE641">
      <w:pPr>
        <w:pStyle w:val="26"/>
        <w:widowControl/>
        <w:spacing w:before="0" w:line="592" w:lineRule="exact"/>
        <w:ind w:firstLine="640" w:firstLineChars="200"/>
        <w:rPr>
          <w:rFonts w:ascii="仿宋_GB2312" w:hAnsi="仿宋_GB2312" w:eastAsia="仿宋_GB2312" w:cs="仿宋_GB2312"/>
          <w:color w:val="000000"/>
          <w:sz w:val="32"/>
          <w:szCs w:val="32"/>
        </w:rPr>
      </w:pPr>
      <w:bookmarkStart w:id="23" w:name="_Toc5429"/>
      <w:bookmarkStart w:id="24" w:name="_Toc31086"/>
      <w:r>
        <w:rPr>
          <w:rFonts w:hint="eastAsia" w:ascii="仿宋_GB2312" w:hAnsi="仿宋_GB2312" w:eastAsia="仿宋_GB2312" w:cs="仿宋_GB2312"/>
          <w:color w:val="000000"/>
          <w:sz w:val="32"/>
          <w:szCs w:val="32"/>
        </w:rPr>
        <w:t>1.2.2本项目招标方式见投标人须知前附表。</w:t>
      </w:r>
      <w:bookmarkEnd w:id="23"/>
      <w:bookmarkEnd w:id="24"/>
    </w:p>
    <w:p w14:paraId="47D10C0D">
      <w:pPr>
        <w:pStyle w:val="26"/>
        <w:widowControl/>
        <w:spacing w:before="0" w:line="592" w:lineRule="exact"/>
        <w:ind w:firstLine="640" w:firstLineChars="200"/>
        <w:rPr>
          <w:rFonts w:ascii="仿宋_GB2312" w:hAnsi="仿宋_GB2312" w:eastAsia="仿宋_GB2312" w:cs="仿宋_GB2312"/>
          <w:color w:val="000000"/>
          <w:sz w:val="32"/>
          <w:szCs w:val="32"/>
        </w:rPr>
      </w:pPr>
      <w:bookmarkStart w:id="25" w:name="_Toc26281"/>
      <w:bookmarkStart w:id="26" w:name="_Toc12882"/>
      <w:bookmarkStart w:id="27" w:name="_Toc7526"/>
      <w:r>
        <w:rPr>
          <w:rFonts w:hint="eastAsia" w:ascii="仿宋_GB2312" w:hAnsi="仿宋_GB2312" w:eastAsia="仿宋_GB2312" w:cs="仿宋_GB2312"/>
          <w:color w:val="000000"/>
          <w:sz w:val="32"/>
          <w:szCs w:val="32"/>
        </w:rPr>
        <w:t>1.3 招标范围、工期、质量和质保期</w:t>
      </w:r>
      <w:bookmarkEnd w:id="25"/>
      <w:bookmarkEnd w:id="26"/>
      <w:bookmarkEnd w:id="27"/>
    </w:p>
    <w:p w14:paraId="39C830A8">
      <w:pPr>
        <w:pStyle w:val="26"/>
        <w:widowControl/>
        <w:spacing w:before="0" w:line="592" w:lineRule="exact"/>
        <w:ind w:firstLine="640" w:firstLineChars="200"/>
        <w:rPr>
          <w:rFonts w:ascii="仿宋_GB2312" w:hAnsi="仿宋_GB2312" w:eastAsia="仿宋_GB2312" w:cs="仿宋_GB2312"/>
          <w:color w:val="000000"/>
          <w:sz w:val="32"/>
          <w:szCs w:val="32"/>
        </w:rPr>
      </w:pPr>
      <w:bookmarkStart w:id="28" w:name="_Toc9573"/>
      <w:bookmarkStart w:id="29" w:name="_Toc23181"/>
      <w:r>
        <w:rPr>
          <w:rFonts w:hint="eastAsia" w:ascii="仿宋_GB2312" w:hAnsi="仿宋_GB2312" w:eastAsia="仿宋_GB2312" w:cs="仿宋_GB2312"/>
          <w:color w:val="000000"/>
          <w:sz w:val="32"/>
          <w:szCs w:val="32"/>
        </w:rPr>
        <w:t>1.3.1本项目招标范围见投标人须知前附表；</w:t>
      </w:r>
      <w:bookmarkEnd w:id="28"/>
      <w:bookmarkEnd w:id="29"/>
    </w:p>
    <w:p w14:paraId="4FFF6004">
      <w:pPr>
        <w:pStyle w:val="26"/>
        <w:widowControl/>
        <w:spacing w:before="0" w:line="592" w:lineRule="exact"/>
        <w:ind w:firstLine="640" w:firstLineChars="200"/>
        <w:rPr>
          <w:rFonts w:ascii="仿宋_GB2312" w:hAnsi="仿宋_GB2312" w:eastAsia="仿宋_GB2312" w:cs="仿宋_GB2312"/>
          <w:color w:val="000000"/>
          <w:sz w:val="32"/>
          <w:szCs w:val="32"/>
        </w:rPr>
      </w:pPr>
      <w:bookmarkStart w:id="30" w:name="_Toc23062"/>
      <w:bookmarkStart w:id="31" w:name="_Toc16228"/>
      <w:r>
        <w:rPr>
          <w:rFonts w:hint="eastAsia" w:ascii="仿宋_GB2312" w:hAnsi="仿宋_GB2312" w:eastAsia="仿宋_GB2312" w:cs="仿宋_GB2312"/>
          <w:color w:val="000000"/>
          <w:sz w:val="32"/>
          <w:szCs w:val="32"/>
        </w:rPr>
        <w:t>1.3.2本项目工期见投标人须知前附表；</w:t>
      </w:r>
      <w:bookmarkEnd w:id="30"/>
      <w:bookmarkEnd w:id="31"/>
    </w:p>
    <w:p w14:paraId="13136222">
      <w:pPr>
        <w:pStyle w:val="26"/>
        <w:widowControl/>
        <w:spacing w:before="0" w:line="592" w:lineRule="exact"/>
        <w:ind w:firstLine="640" w:firstLineChars="200"/>
        <w:rPr>
          <w:rFonts w:ascii="仿宋_GB2312" w:hAnsi="仿宋_GB2312" w:eastAsia="仿宋_GB2312" w:cs="仿宋_GB2312"/>
          <w:color w:val="000000"/>
          <w:sz w:val="32"/>
          <w:szCs w:val="32"/>
        </w:rPr>
      </w:pPr>
      <w:bookmarkStart w:id="32" w:name="_Toc24672"/>
      <w:bookmarkStart w:id="33" w:name="_Toc24574"/>
      <w:r>
        <w:rPr>
          <w:rFonts w:hint="eastAsia" w:ascii="仿宋_GB2312" w:hAnsi="仿宋_GB2312" w:eastAsia="仿宋_GB2312" w:cs="仿宋_GB2312"/>
          <w:color w:val="000000"/>
          <w:sz w:val="32"/>
          <w:szCs w:val="32"/>
        </w:rPr>
        <w:t>1.3.3本项目质量要求见投标人须知前附表；</w:t>
      </w:r>
      <w:bookmarkEnd w:id="32"/>
      <w:bookmarkEnd w:id="33"/>
    </w:p>
    <w:p w14:paraId="69A85C4F">
      <w:pPr>
        <w:pStyle w:val="26"/>
        <w:widowControl/>
        <w:spacing w:before="0" w:line="592" w:lineRule="exact"/>
        <w:ind w:firstLine="640" w:firstLineChars="200"/>
        <w:rPr>
          <w:rFonts w:ascii="仿宋_GB2312" w:hAnsi="仿宋_GB2312" w:eastAsia="仿宋_GB2312" w:cs="仿宋_GB2312"/>
          <w:color w:val="000000"/>
          <w:sz w:val="32"/>
          <w:szCs w:val="32"/>
        </w:rPr>
      </w:pPr>
      <w:bookmarkStart w:id="34" w:name="_Toc14636"/>
      <w:bookmarkStart w:id="35" w:name="_Toc25005"/>
      <w:r>
        <w:rPr>
          <w:rFonts w:hint="eastAsia" w:ascii="仿宋_GB2312" w:hAnsi="仿宋_GB2312" w:eastAsia="仿宋_GB2312" w:cs="仿宋_GB2312"/>
          <w:color w:val="000000"/>
          <w:sz w:val="32"/>
          <w:szCs w:val="32"/>
        </w:rPr>
        <w:t>1.3.4本项目质保期见投标人须知前附表。</w:t>
      </w:r>
      <w:bookmarkEnd w:id="34"/>
      <w:bookmarkEnd w:id="35"/>
    </w:p>
    <w:p w14:paraId="7AEA381C">
      <w:pPr>
        <w:pStyle w:val="26"/>
        <w:widowControl/>
        <w:spacing w:before="0" w:line="592" w:lineRule="exact"/>
        <w:ind w:firstLine="640" w:firstLineChars="200"/>
        <w:rPr>
          <w:rFonts w:ascii="仿宋_GB2312" w:hAnsi="仿宋_GB2312" w:eastAsia="仿宋_GB2312" w:cs="仿宋_GB2312"/>
          <w:color w:val="000000"/>
          <w:sz w:val="32"/>
          <w:szCs w:val="32"/>
        </w:rPr>
      </w:pPr>
      <w:bookmarkStart w:id="36" w:name="_Toc17311"/>
      <w:bookmarkStart w:id="37" w:name="_Toc6773"/>
      <w:bookmarkStart w:id="38" w:name="_Toc23927"/>
      <w:r>
        <w:rPr>
          <w:rFonts w:hint="eastAsia" w:ascii="仿宋_GB2312" w:hAnsi="仿宋_GB2312" w:eastAsia="仿宋_GB2312" w:cs="仿宋_GB2312"/>
          <w:color w:val="000000"/>
          <w:sz w:val="32"/>
          <w:szCs w:val="32"/>
        </w:rPr>
        <w:t>1.4投标人资格要求</w:t>
      </w:r>
      <w:bookmarkEnd w:id="36"/>
      <w:bookmarkEnd w:id="37"/>
      <w:bookmarkEnd w:id="38"/>
    </w:p>
    <w:p w14:paraId="06777C37">
      <w:pPr>
        <w:pStyle w:val="26"/>
        <w:widowControl/>
        <w:spacing w:before="0" w:line="592" w:lineRule="exact"/>
        <w:ind w:firstLine="640" w:firstLineChars="200"/>
        <w:rPr>
          <w:rFonts w:ascii="仿宋_GB2312" w:hAnsi="仿宋_GB2312" w:eastAsia="仿宋_GB2312" w:cs="仿宋_GB2312"/>
          <w:color w:val="000000"/>
          <w:sz w:val="32"/>
          <w:szCs w:val="32"/>
        </w:rPr>
      </w:pPr>
      <w:bookmarkStart w:id="39" w:name="_Toc9661"/>
      <w:bookmarkStart w:id="40" w:name="_Toc7741"/>
      <w:r>
        <w:rPr>
          <w:rFonts w:hint="eastAsia" w:ascii="仿宋_GB2312" w:hAnsi="仿宋_GB2312" w:eastAsia="仿宋_GB2312" w:cs="仿宋_GB2312"/>
          <w:color w:val="000000"/>
          <w:sz w:val="32"/>
          <w:szCs w:val="32"/>
        </w:rPr>
        <w:t>1.4.1投标人应具备A包和B包的相关规定，具体见投标人须知前附表。</w:t>
      </w:r>
      <w:bookmarkEnd w:id="39"/>
      <w:bookmarkEnd w:id="40"/>
    </w:p>
    <w:p w14:paraId="30E50F24">
      <w:pPr>
        <w:pStyle w:val="26"/>
        <w:widowControl/>
        <w:spacing w:before="0" w:line="592" w:lineRule="exact"/>
        <w:ind w:firstLine="640" w:firstLineChars="200"/>
        <w:rPr>
          <w:rFonts w:ascii="仿宋_GB2312" w:hAnsi="仿宋_GB2312" w:eastAsia="仿宋_GB2312" w:cs="仿宋_GB2312"/>
          <w:color w:val="000000"/>
          <w:sz w:val="32"/>
          <w:szCs w:val="32"/>
        </w:rPr>
      </w:pPr>
      <w:bookmarkStart w:id="41" w:name="_Toc10737"/>
      <w:bookmarkStart w:id="42" w:name="_Toc11444"/>
      <w:r>
        <w:rPr>
          <w:rFonts w:hint="eastAsia" w:ascii="仿宋_GB2312" w:hAnsi="仿宋_GB2312" w:eastAsia="仿宋_GB2312" w:cs="仿宋_GB2312"/>
          <w:color w:val="000000"/>
          <w:sz w:val="32"/>
          <w:szCs w:val="32"/>
        </w:rPr>
        <w:t>1.4.3 投标人不得存在下列情形之一，否则，评标委员会将否决其投标：</w:t>
      </w:r>
      <w:bookmarkEnd w:id="41"/>
      <w:bookmarkEnd w:id="42"/>
    </w:p>
    <w:p w14:paraId="5E82A4A7">
      <w:pPr>
        <w:pStyle w:val="26"/>
        <w:widowControl/>
        <w:spacing w:before="0" w:line="592" w:lineRule="exact"/>
        <w:ind w:firstLine="640" w:firstLineChars="200"/>
        <w:rPr>
          <w:rFonts w:ascii="仿宋_GB2312" w:hAnsi="仿宋_GB2312" w:eastAsia="仿宋_GB2312" w:cs="仿宋_GB2312"/>
          <w:color w:val="000000"/>
          <w:sz w:val="32"/>
          <w:szCs w:val="32"/>
        </w:rPr>
      </w:pPr>
      <w:bookmarkStart w:id="43" w:name="_Toc5746"/>
      <w:bookmarkStart w:id="44" w:name="_Toc16847"/>
      <w:r>
        <w:rPr>
          <w:rFonts w:hint="eastAsia" w:ascii="仿宋_GB2312" w:hAnsi="仿宋_GB2312" w:eastAsia="仿宋_GB2312" w:cs="仿宋_GB2312"/>
          <w:color w:val="000000"/>
          <w:sz w:val="32"/>
          <w:szCs w:val="32"/>
        </w:rPr>
        <w:t>1.4.3.1 为招标人不具有独立法人资格的附属机构（单位）；</w:t>
      </w:r>
      <w:bookmarkEnd w:id="43"/>
      <w:bookmarkEnd w:id="44"/>
    </w:p>
    <w:p w14:paraId="54F38CEF">
      <w:pPr>
        <w:pStyle w:val="26"/>
        <w:widowControl/>
        <w:spacing w:before="0" w:line="592" w:lineRule="exact"/>
        <w:ind w:firstLine="640" w:firstLineChars="200"/>
        <w:rPr>
          <w:rFonts w:ascii="仿宋_GB2312" w:hAnsi="仿宋_GB2312" w:eastAsia="仿宋_GB2312" w:cs="仿宋_GB2312"/>
          <w:color w:val="000000"/>
          <w:sz w:val="32"/>
          <w:szCs w:val="32"/>
        </w:rPr>
      </w:pPr>
      <w:bookmarkStart w:id="45" w:name="_Toc11951"/>
      <w:bookmarkStart w:id="46" w:name="_Toc29959"/>
      <w:r>
        <w:rPr>
          <w:rFonts w:hint="eastAsia" w:ascii="仿宋_GB2312" w:hAnsi="仿宋_GB2312" w:eastAsia="仿宋_GB2312" w:cs="仿宋_GB2312"/>
          <w:color w:val="000000"/>
          <w:sz w:val="32"/>
          <w:szCs w:val="32"/>
        </w:rPr>
        <w:t>1.4.3.2 为本项目前期提供设计或咨询服务的，但设计施工总承包的除外；</w:t>
      </w:r>
      <w:bookmarkEnd w:id="45"/>
      <w:bookmarkEnd w:id="46"/>
    </w:p>
    <w:p w14:paraId="1E7286BE">
      <w:pPr>
        <w:pStyle w:val="26"/>
        <w:widowControl/>
        <w:spacing w:before="0" w:line="592" w:lineRule="exact"/>
        <w:ind w:firstLine="640" w:firstLineChars="200"/>
        <w:rPr>
          <w:rFonts w:ascii="仿宋_GB2312" w:hAnsi="仿宋_GB2312" w:eastAsia="仿宋_GB2312" w:cs="仿宋_GB2312"/>
          <w:color w:val="000000"/>
          <w:sz w:val="32"/>
          <w:szCs w:val="32"/>
        </w:rPr>
      </w:pPr>
      <w:bookmarkStart w:id="47" w:name="_Toc23148"/>
      <w:bookmarkStart w:id="48" w:name="_Toc32428"/>
      <w:r>
        <w:rPr>
          <w:rFonts w:hint="eastAsia" w:ascii="仿宋_GB2312" w:hAnsi="仿宋_GB2312" w:eastAsia="仿宋_GB2312" w:cs="仿宋_GB2312"/>
          <w:color w:val="000000"/>
          <w:sz w:val="32"/>
          <w:szCs w:val="32"/>
        </w:rPr>
        <w:t>1.4.3.3 为本项目的代建人；</w:t>
      </w:r>
      <w:bookmarkEnd w:id="47"/>
      <w:bookmarkEnd w:id="48"/>
    </w:p>
    <w:p w14:paraId="2AA7D94D">
      <w:pPr>
        <w:pStyle w:val="26"/>
        <w:widowControl/>
        <w:spacing w:before="0" w:line="592" w:lineRule="exact"/>
        <w:ind w:firstLine="640" w:firstLineChars="200"/>
        <w:rPr>
          <w:rFonts w:ascii="仿宋_GB2312" w:hAnsi="仿宋_GB2312" w:eastAsia="仿宋_GB2312" w:cs="仿宋_GB2312"/>
          <w:color w:val="000000"/>
          <w:sz w:val="32"/>
          <w:szCs w:val="32"/>
        </w:rPr>
      </w:pPr>
      <w:bookmarkStart w:id="49" w:name="_Toc31868"/>
      <w:bookmarkStart w:id="50" w:name="_Toc23373"/>
      <w:r>
        <w:rPr>
          <w:rFonts w:hint="eastAsia" w:ascii="仿宋_GB2312" w:hAnsi="仿宋_GB2312" w:eastAsia="仿宋_GB2312" w:cs="仿宋_GB2312"/>
          <w:color w:val="000000"/>
          <w:sz w:val="32"/>
          <w:szCs w:val="32"/>
        </w:rPr>
        <w:t>1.4.3.4 为本项目提供招标代理服务的；</w:t>
      </w:r>
      <w:bookmarkEnd w:id="49"/>
      <w:bookmarkEnd w:id="50"/>
    </w:p>
    <w:p w14:paraId="0448343F">
      <w:pPr>
        <w:pStyle w:val="26"/>
        <w:widowControl/>
        <w:spacing w:before="0" w:line="592" w:lineRule="exact"/>
        <w:ind w:firstLine="640" w:firstLineChars="200"/>
        <w:rPr>
          <w:rFonts w:ascii="仿宋_GB2312" w:hAnsi="仿宋_GB2312" w:eastAsia="仿宋_GB2312" w:cs="仿宋_GB2312"/>
          <w:color w:val="000000"/>
          <w:sz w:val="32"/>
          <w:szCs w:val="32"/>
        </w:rPr>
      </w:pPr>
      <w:bookmarkStart w:id="51" w:name="_Toc20994"/>
      <w:bookmarkStart w:id="52" w:name="_Toc31438"/>
      <w:r>
        <w:rPr>
          <w:rFonts w:hint="eastAsia" w:ascii="仿宋_GB2312" w:hAnsi="仿宋_GB2312" w:eastAsia="仿宋_GB2312" w:cs="仿宋_GB2312"/>
          <w:color w:val="000000"/>
          <w:sz w:val="32"/>
          <w:szCs w:val="32"/>
        </w:rPr>
        <w:t>1.4.3.5 与本项目的代建人或招标代理机构为同一法定代表人的；</w:t>
      </w:r>
      <w:bookmarkEnd w:id="51"/>
      <w:bookmarkEnd w:id="52"/>
    </w:p>
    <w:p w14:paraId="6108FD1F">
      <w:pPr>
        <w:pStyle w:val="26"/>
        <w:widowControl/>
        <w:spacing w:before="0" w:line="592" w:lineRule="exact"/>
        <w:ind w:firstLine="640" w:firstLineChars="200"/>
        <w:rPr>
          <w:rFonts w:ascii="仿宋_GB2312" w:hAnsi="仿宋_GB2312" w:eastAsia="仿宋_GB2312" w:cs="仿宋_GB2312"/>
          <w:color w:val="000000"/>
          <w:sz w:val="32"/>
          <w:szCs w:val="32"/>
        </w:rPr>
      </w:pPr>
      <w:bookmarkStart w:id="53" w:name="_Toc27276"/>
      <w:bookmarkStart w:id="54" w:name="_Toc18176"/>
      <w:r>
        <w:rPr>
          <w:rFonts w:hint="eastAsia" w:ascii="仿宋_GB2312" w:hAnsi="仿宋_GB2312" w:eastAsia="仿宋_GB2312" w:cs="仿宋_GB2312"/>
          <w:color w:val="000000"/>
          <w:sz w:val="32"/>
          <w:szCs w:val="32"/>
        </w:rPr>
        <w:t>1.4.3.6 与本项目的代建人或招标代理机构相互控股或参股的；</w:t>
      </w:r>
      <w:bookmarkEnd w:id="53"/>
      <w:bookmarkEnd w:id="54"/>
    </w:p>
    <w:p w14:paraId="30E37CDB">
      <w:pPr>
        <w:pStyle w:val="26"/>
        <w:widowControl/>
        <w:spacing w:before="0" w:line="592" w:lineRule="exact"/>
        <w:ind w:firstLine="640" w:firstLineChars="200"/>
        <w:rPr>
          <w:rFonts w:ascii="仿宋_GB2312" w:hAnsi="仿宋_GB2312" w:eastAsia="仿宋_GB2312" w:cs="仿宋_GB2312"/>
          <w:color w:val="000000"/>
          <w:sz w:val="32"/>
          <w:szCs w:val="32"/>
        </w:rPr>
      </w:pPr>
      <w:bookmarkStart w:id="55" w:name="_Toc21124"/>
      <w:bookmarkStart w:id="56" w:name="_Toc8202"/>
      <w:r>
        <w:rPr>
          <w:rFonts w:hint="eastAsia" w:ascii="仿宋_GB2312" w:hAnsi="仿宋_GB2312" w:eastAsia="仿宋_GB2312" w:cs="仿宋_GB2312"/>
          <w:color w:val="000000"/>
          <w:sz w:val="32"/>
          <w:szCs w:val="32"/>
        </w:rPr>
        <w:t>1.4.3.7 与本项目的代建人或招标代理机构相互任职或工作的；</w:t>
      </w:r>
      <w:bookmarkEnd w:id="55"/>
      <w:bookmarkEnd w:id="56"/>
    </w:p>
    <w:p w14:paraId="2239BB4C">
      <w:pPr>
        <w:pStyle w:val="26"/>
        <w:widowControl/>
        <w:spacing w:before="0" w:line="592" w:lineRule="exact"/>
        <w:ind w:firstLine="640" w:firstLineChars="200"/>
        <w:rPr>
          <w:rFonts w:ascii="仿宋_GB2312" w:hAnsi="仿宋_GB2312" w:eastAsia="仿宋_GB2312" w:cs="仿宋_GB2312"/>
          <w:color w:val="000000"/>
          <w:sz w:val="32"/>
          <w:szCs w:val="32"/>
        </w:rPr>
      </w:pPr>
      <w:bookmarkStart w:id="57" w:name="_Toc20281"/>
      <w:bookmarkStart w:id="58" w:name="_Toc25295"/>
      <w:r>
        <w:rPr>
          <w:rFonts w:hint="eastAsia" w:ascii="仿宋_GB2312" w:hAnsi="仿宋_GB2312" w:eastAsia="仿宋_GB2312" w:cs="仿宋_GB2312"/>
          <w:color w:val="000000"/>
          <w:sz w:val="32"/>
          <w:szCs w:val="32"/>
        </w:rPr>
        <w:t>1.4.3.8 被责令停业的；</w:t>
      </w:r>
      <w:bookmarkEnd w:id="57"/>
      <w:bookmarkEnd w:id="58"/>
      <w:r>
        <w:rPr>
          <w:rFonts w:hint="eastAsia" w:ascii="仿宋_GB2312" w:hAnsi="仿宋_GB2312" w:eastAsia="仿宋_GB2312" w:cs="仿宋_GB2312"/>
          <w:color w:val="000000"/>
          <w:sz w:val="32"/>
          <w:szCs w:val="32"/>
        </w:rPr>
        <w:t xml:space="preserve"> </w:t>
      </w:r>
    </w:p>
    <w:p w14:paraId="1BD30F01">
      <w:pPr>
        <w:pStyle w:val="26"/>
        <w:widowControl/>
        <w:spacing w:before="0" w:line="592" w:lineRule="exact"/>
        <w:ind w:firstLine="640" w:firstLineChars="200"/>
        <w:rPr>
          <w:rFonts w:ascii="仿宋_GB2312" w:hAnsi="仿宋_GB2312" w:eastAsia="仿宋_GB2312" w:cs="仿宋_GB2312"/>
          <w:color w:val="000000"/>
          <w:sz w:val="32"/>
          <w:szCs w:val="32"/>
        </w:rPr>
      </w:pPr>
      <w:bookmarkStart w:id="59" w:name="_Toc27823"/>
      <w:bookmarkStart w:id="60" w:name="_Toc3850"/>
      <w:r>
        <w:rPr>
          <w:rFonts w:hint="eastAsia" w:ascii="仿宋_GB2312" w:hAnsi="仿宋_GB2312" w:eastAsia="仿宋_GB2312" w:cs="仿宋_GB2312"/>
          <w:color w:val="000000"/>
          <w:sz w:val="32"/>
          <w:szCs w:val="32"/>
        </w:rPr>
        <w:t>1.4.3.9 被暂停或取消投标资格的；</w:t>
      </w:r>
      <w:bookmarkEnd w:id="59"/>
      <w:bookmarkEnd w:id="60"/>
      <w:r>
        <w:rPr>
          <w:rFonts w:hint="eastAsia" w:ascii="仿宋_GB2312" w:hAnsi="仿宋_GB2312" w:eastAsia="仿宋_GB2312" w:cs="仿宋_GB2312"/>
          <w:color w:val="000000"/>
          <w:sz w:val="32"/>
          <w:szCs w:val="32"/>
        </w:rPr>
        <w:t xml:space="preserve"> </w:t>
      </w:r>
    </w:p>
    <w:p w14:paraId="0AF35C47">
      <w:pPr>
        <w:pStyle w:val="26"/>
        <w:widowControl/>
        <w:spacing w:before="0" w:line="592" w:lineRule="exact"/>
        <w:ind w:firstLine="640" w:firstLineChars="200"/>
        <w:rPr>
          <w:rFonts w:ascii="仿宋_GB2312" w:hAnsi="仿宋_GB2312" w:eastAsia="仿宋_GB2312" w:cs="仿宋_GB2312"/>
          <w:color w:val="000000"/>
          <w:sz w:val="32"/>
          <w:szCs w:val="32"/>
        </w:rPr>
      </w:pPr>
      <w:bookmarkStart w:id="61" w:name="_Toc1336"/>
      <w:bookmarkStart w:id="62" w:name="_Toc21032"/>
      <w:r>
        <w:rPr>
          <w:rFonts w:hint="eastAsia" w:ascii="仿宋_GB2312" w:hAnsi="仿宋_GB2312" w:eastAsia="仿宋_GB2312" w:cs="仿宋_GB2312"/>
          <w:color w:val="000000"/>
          <w:sz w:val="32"/>
          <w:szCs w:val="32"/>
        </w:rPr>
        <w:t>1.4.3.10 财产被接管或冻结的；</w:t>
      </w:r>
      <w:bookmarkEnd w:id="61"/>
      <w:bookmarkEnd w:id="62"/>
    </w:p>
    <w:p w14:paraId="3527CB23">
      <w:pPr>
        <w:pStyle w:val="26"/>
        <w:widowControl/>
        <w:spacing w:before="0" w:line="592" w:lineRule="exact"/>
        <w:ind w:firstLine="640" w:firstLineChars="200"/>
        <w:rPr>
          <w:rFonts w:ascii="仿宋_GB2312" w:hAnsi="仿宋_GB2312" w:eastAsia="仿宋_GB2312" w:cs="仿宋_GB2312"/>
          <w:color w:val="000000"/>
          <w:sz w:val="32"/>
          <w:szCs w:val="32"/>
        </w:rPr>
      </w:pPr>
      <w:bookmarkStart w:id="63" w:name="_Toc9678"/>
      <w:bookmarkStart w:id="64" w:name="_Toc270"/>
      <w:r>
        <w:rPr>
          <w:rFonts w:hint="eastAsia" w:ascii="仿宋_GB2312" w:hAnsi="仿宋_GB2312" w:eastAsia="仿宋_GB2312" w:cs="仿宋_GB2312"/>
          <w:color w:val="000000"/>
          <w:sz w:val="32"/>
          <w:szCs w:val="32"/>
        </w:rPr>
        <w:t>1.4.3.11 在最近三年内有骗取中标或严重违约或重大工程质量问题的。</w:t>
      </w:r>
      <w:bookmarkEnd w:id="63"/>
      <w:bookmarkEnd w:id="64"/>
    </w:p>
    <w:p w14:paraId="52A8D229">
      <w:pPr>
        <w:pStyle w:val="26"/>
        <w:widowControl/>
        <w:spacing w:before="0" w:line="592" w:lineRule="exact"/>
        <w:ind w:firstLine="640" w:firstLineChars="200"/>
        <w:rPr>
          <w:rFonts w:ascii="仿宋_GB2312" w:hAnsi="仿宋_GB2312" w:eastAsia="仿宋_GB2312" w:cs="仿宋_GB2312"/>
          <w:color w:val="000000"/>
          <w:sz w:val="32"/>
          <w:szCs w:val="32"/>
        </w:rPr>
      </w:pPr>
      <w:bookmarkStart w:id="65" w:name="_Toc23914"/>
      <w:bookmarkStart w:id="66" w:name="_Toc23693"/>
      <w:bookmarkStart w:id="67" w:name="_Toc3754"/>
      <w:r>
        <w:rPr>
          <w:rFonts w:hint="eastAsia" w:ascii="仿宋_GB2312" w:hAnsi="仿宋_GB2312" w:eastAsia="仿宋_GB2312" w:cs="仿宋_GB2312"/>
          <w:color w:val="000000"/>
          <w:sz w:val="32"/>
          <w:szCs w:val="32"/>
        </w:rPr>
        <w:t>1.5 费用承担</w:t>
      </w:r>
      <w:bookmarkEnd w:id="65"/>
      <w:bookmarkEnd w:id="66"/>
      <w:bookmarkEnd w:id="67"/>
    </w:p>
    <w:p w14:paraId="31933D92">
      <w:pPr>
        <w:pStyle w:val="26"/>
        <w:widowControl/>
        <w:spacing w:before="0" w:line="592" w:lineRule="exact"/>
        <w:ind w:firstLine="640" w:firstLineChars="200"/>
        <w:rPr>
          <w:rFonts w:ascii="仿宋_GB2312" w:hAnsi="仿宋_GB2312" w:eastAsia="仿宋_GB2312" w:cs="仿宋_GB2312"/>
          <w:color w:val="000000"/>
          <w:sz w:val="32"/>
          <w:szCs w:val="32"/>
        </w:rPr>
      </w:pPr>
      <w:bookmarkStart w:id="68" w:name="_Toc24237"/>
      <w:bookmarkStart w:id="69" w:name="_Toc6314"/>
      <w:r>
        <w:rPr>
          <w:rFonts w:hint="eastAsia" w:ascii="仿宋_GB2312" w:hAnsi="仿宋_GB2312" w:eastAsia="仿宋_GB2312" w:cs="仿宋_GB2312"/>
          <w:color w:val="000000"/>
          <w:sz w:val="32"/>
          <w:szCs w:val="32"/>
        </w:rPr>
        <w:t>1.5.1投标人准备和参加投标活动发生的一切费用自理。</w:t>
      </w:r>
      <w:bookmarkEnd w:id="68"/>
      <w:bookmarkEnd w:id="69"/>
    </w:p>
    <w:p w14:paraId="78ADD93C">
      <w:pPr>
        <w:pStyle w:val="26"/>
        <w:widowControl/>
        <w:spacing w:before="0" w:line="592" w:lineRule="exact"/>
        <w:ind w:firstLine="640" w:firstLineChars="200"/>
        <w:rPr>
          <w:rFonts w:ascii="仿宋_GB2312" w:hAnsi="仿宋_GB2312" w:eastAsia="仿宋_GB2312" w:cs="仿宋_GB2312"/>
          <w:color w:val="000000"/>
          <w:sz w:val="32"/>
          <w:szCs w:val="32"/>
        </w:rPr>
      </w:pPr>
      <w:bookmarkStart w:id="70" w:name="_Toc29418"/>
      <w:bookmarkStart w:id="71" w:name="_Toc32668"/>
      <w:bookmarkStart w:id="72" w:name="_Toc16241"/>
      <w:r>
        <w:rPr>
          <w:rFonts w:hint="eastAsia" w:ascii="仿宋_GB2312" w:hAnsi="仿宋_GB2312" w:eastAsia="仿宋_GB2312" w:cs="仿宋_GB2312"/>
          <w:color w:val="000000"/>
          <w:sz w:val="32"/>
          <w:szCs w:val="32"/>
        </w:rPr>
        <w:t>1.6 保密</w:t>
      </w:r>
      <w:bookmarkEnd w:id="70"/>
      <w:bookmarkEnd w:id="71"/>
      <w:bookmarkEnd w:id="72"/>
    </w:p>
    <w:p w14:paraId="4073D2C6">
      <w:pPr>
        <w:pStyle w:val="26"/>
        <w:widowControl/>
        <w:spacing w:before="0" w:line="592" w:lineRule="exact"/>
        <w:ind w:firstLine="640" w:firstLineChars="200"/>
        <w:rPr>
          <w:rFonts w:ascii="仿宋_GB2312" w:hAnsi="仿宋_GB2312" w:eastAsia="仿宋_GB2312" w:cs="仿宋_GB2312"/>
          <w:color w:val="000000"/>
          <w:sz w:val="32"/>
          <w:szCs w:val="32"/>
        </w:rPr>
      </w:pPr>
      <w:bookmarkStart w:id="73" w:name="_Toc7433"/>
      <w:bookmarkStart w:id="74" w:name="_Toc994"/>
      <w:r>
        <w:rPr>
          <w:rFonts w:hint="eastAsia" w:ascii="仿宋_GB2312" w:hAnsi="仿宋_GB2312" w:eastAsia="仿宋_GB2312" w:cs="仿宋_GB2312"/>
          <w:color w:val="000000"/>
          <w:sz w:val="32"/>
          <w:szCs w:val="32"/>
        </w:rPr>
        <w:t>1.6.1参与招标投标活动的各方应对招标文件和投标文件中的商业和技术等秘密保密，违者应对由此造成的后果承担法律责任。</w:t>
      </w:r>
      <w:bookmarkEnd w:id="73"/>
      <w:bookmarkEnd w:id="74"/>
    </w:p>
    <w:p w14:paraId="3669D910">
      <w:pPr>
        <w:pStyle w:val="26"/>
        <w:widowControl/>
        <w:spacing w:before="0" w:line="592" w:lineRule="exact"/>
        <w:ind w:firstLine="640" w:firstLineChars="200"/>
        <w:rPr>
          <w:rFonts w:ascii="仿宋_GB2312" w:hAnsi="仿宋_GB2312" w:eastAsia="仿宋_GB2312" w:cs="仿宋_GB2312"/>
          <w:color w:val="000000"/>
          <w:sz w:val="32"/>
          <w:szCs w:val="32"/>
        </w:rPr>
      </w:pPr>
      <w:bookmarkStart w:id="75" w:name="_Toc13292"/>
      <w:bookmarkStart w:id="76" w:name="_Toc1560"/>
      <w:bookmarkStart w:id="77" w:name="_Toc1755"/>
      <w:r>
        <w:rPr>
          <w:rFonts w:hint="eastAsia" w:ascii="仿宋_GB2312" w:hAnsi="仿宋_GB2312" w:eastAsia="仿宋_GB2312" w:cs="仿宋_GB2312"/>
          <w:color w:val="000000"/>
          <w:sz w:val="32"/>
          <w:szCs w:val="32"/>
        </w:rPr>
        <w:t>1.7 语言文字</w:t>
      </w:r>
      <w:bookmarkEnd w:id="75"/>
      <w:bookmarkEnd w:id="76"/>
      <w:bookmarkEnd w:id="77"/>
    </w:p>
    <w:p w14:paraId="15B8FA34">
      <w:pPr>
        <w:pStyle w:val="26"/>
        <w:widowControl/>
        <w:spacing w:before="0" w:line="592" w:lineRule="exact"/>
        <w:ind w:firstLine="640" w:firstLineChars="200"/>
        <w:rPr>
          <w:rFonts w:ascii="仿宋_GB2312" w:hAnsi="仿宋_GB2312" w:eastAsia="仿宋_GB2312" w:cs="仿宋_GB2312"/>
          <w:color w:val="000000"/>
          <w:sz w:val="32"/>
          <w:szCs w:val="32"/>
        </w:rPr>
      </w:pPr>
      <w:bookmarkStart w:id="78" w:name="_Toc212"/>
      <w:bookmarkStart w:id="79" w:name="_Toc29870"/>
      <w:r>
        <w:rPr>
          <w:rFonts w:hint="eastAsia" w:ascii="仿宋_GB2312" w:hAnsi="仿宋_GB2312" w:eastAsia="仿宋_GB2312" w:cs="仿宋_GB2312"/>
          <w:color w:val="000000"/>
          <w:sz w:val="32"/>
          <w:szCs w:val="32"/>
        </w:rPr>
        <w:t>1.7.1除专用术语外，与招标投标有关的语言均使用简体中文。必要时专用术语应附有简体中文注释。</w:t>
      </w:r>
      <w:bookmarkEnd w:id="78"/>
      <w:bookmarkEnd w:id="79"/>
    </w:p>
    <w:p w14:paraId="746369FD">
      <w:pPr>
        <w:pStyle w:val="26"/>
        <w:widowControl/>
        <w:spacing w:before="0" w:line="592" w:lineRule="exact"/>
        <w:ind w:firstLine="640" w:firstLineChars="200"/>
        <w:rPr>
          <w:rFonts w:ascii="仿宋_GB2312" w:hAnsi="仿宋_GB2312" w:eastAsia="仿宋_GB2312" w:cs="仿宋_GB2312"/>
          <w:color w:val="000000"/>
          <w:sz w:val="32"/>
          <w:szCs w:val="32"/>
        </w:rPr>
      </w:pPr>
      <w:bookmarkStart w:id="80" w:name="_Toc23952"/>
      <w:bookmarkStart w:id="81" w:name="_Toc27003"/>
      <w:bookmarkStart w:id="82" w:name="_Toc27224"/>
      <w:r>
        <w:rPr>
          <w:rFonts w:hint="eastAsia" w:ascii="仿宋_GB2312" w:hAnsi="仿宋_GB2312" w:eastAsia="仿宋_GB2312" w:cs="仿宋_GB2312"/>
          <w:color w:val="000000"/>
          <w:sz w:val="32"/>
          <w:szCs w:val="32"/>
        </w:rPr>
        <w:t>1.8计量单位</w:t>
      </w:r>
      <w:bookmarkEnd w:id="80"/>
      <w:bookmarkEnd w:id="81"/>
      <w:bookmarkEnd w:id="82"/>
    </w:p>
    <w:p w14:paraId="24E60B98">
      <w:pPr>
        <w:pStyle w:val="26"/>
        <w:widowControl/>
        <w:spacing w:before="0" w:line="592" w:lineRule="exact"/>
        <w:ind w:firstLine="640" w:firstLineChars="200"/>
        <w:rPr>
          <w:rFonts w:ascii="仿宋_GB2312" w:hAnsi="仿宋_GB2312" w:eastAsia="仿宋_GB2312" w:cs="仿宋_GB2312"/>
          <w:color w:val="000000"/>
          <w:sz w:val="32"/>
          <w:szCs w:val="32"/>
        </w:rPr>
      </w:pPr>
      <w:bookmarkStart w:id="83" w:name="_Toc28244"/>
      <w:bookmarkStart w:id="84" w:name="_Toc10440"/>
      <w:r>
        <w:rPr>
          <w:rFonts w:hint="eastAsia" w:ascii="仿宋_GB2312" w:hAnsi="仿宋_GB2312" w:eastAsia="仿宋_GB2312" w:cs="仿宋_GB2312"/>
          <w:color w:val="000000"/>
          <w:sz w:val="32"/>
          <w:szCs w:val="32"/>
        </w:rPr>
        <w:t>1.8.1所有计量均采用中华人民共和国法定计量单位。</w:t>
      </w:r>
      <w:bookmarkEnd w:id="83"/>
      <w:bookmarkEnd w:id="84"/>
    </w:p>
    <w:p w14:paraId="28578349">
      <w:pPr>
        <w:pStyle w:val="26"/>
        <w:widowControl/>
        <w:spacing w:before="0" w:line="592" w:lineRule="exact"/>
        <w:ind w:firstLine="640" w:firstLineChars="200"/>
        <w:rPr>
          <w:rFonts w:ascii="仿宋_GB2312" w:hAnsi="仿宋_GB2312" w:eastAsia="仿宋_GB2312" w:cs="仿宋_GB2312"/>
          <w:color w:val="000000"/>
          <w:sz w:val="32"/>
          <w:szCs w:val="32"/>
        </w:rPr>
      </w:pPr>
      <w:bookmarkStart w:id="85" w:name="_Toc30644"/>
      <w:bookmarkStart w:id="86" w:name="_Toc2292"/>
      <w:bookmarkStart w:id="87" w:name="_Toc12869"/>
      <w:r>
        <w:rPr>
          <w:rFonts w:hint="eastAsia" w:ascii="仿宋_GB2312" w:hAnsi="仿宋_GB2312" w:eastAsia="仿宋_GB2312" w:cs="仿宋_GB2312"/>
          <w:color w:val="000000"/>
          <w:sz w:val="32"/>
          <w:szCs w:val="32"/>
        </w:rPr>
        <w:t>1.9 踏勘现场</w:t>
      </w:r>
      <w:bookmarkEnd w:id="85"/>
      <w:bookmarkEnd w:id="86"/>
      <w:bookmarkEnd w:id="87"/>
    </w:p>
    <w:p w14:paraId="405462C8">
      <w:pPr>
        <w:pStyle w:val="26"/>
        <w:widowControl/>
        <w:spacing w:before="0" w:line="592" w:lineRule="exact"/>
        <w:ind w:firstLine="640" w:firstLineChars="200"/>
        <w:rPr>
          <w:rFonts w:ascii="仿宋_GB2312" w:hAnsi="仿宋_GB2312" w:eastAsia="仿宋_GB2312" w:cs="仿宋_GB2312"/>
          <w:color w:val="000000"/>
          <w:sz w:val="32"/>
          <w:szCs w:val="32"/>
        </w:rPr>
      </w:pPr>
      <w:bookmarkStart w:id="88" w:name="_Toc26789"/>
      <w:bookmarkStart w:id="89" w:name="_Toc22213"/>
      <w:r>
        <w:rPr>
          <w:rFonts w:hint="eastAsia" w:ascii="仿宋_GB2312" w:hAnsi="仿宋_GB2312" w:eastAsia="仿宋_GB2312" w:cs="仿宋_GB2312"/>
          <w:color w:val="000000"/>
          <w:sz w:val="32"/>
          <w:szCs w:val="32"/>
        </w:rPr>
        <w:t>1.9.1不统一组织踏勘现场。</w:t>
      </w:r>
      <w:bookmarkEnd w:id="88"/>
      <w:bookmarkEnd w:id="89"/>
    </w:p>
    <w:p w14:paraId="005E75A4">
      <w:pPr>
        <w:pStyle w:val="26"/>
        <w:widowControl/>
        <w:spacing w:before="0" w:line="592" w:lineRule="exact"/>
        <w:ind w:firstLine="640" w:firstLineChars="200"/>
        <w:rPr>
          <w:rFonts w:ascii="仿宋_GB2312" w:hAnsi="仿宋_GB2312" w:eastAsia="仿宋_GB2312" w:cs="仿宋_GB2312"/>
          <w:color w:val="000000"/>
          <w:sz w:val="32"/>
          <w:szCs w:val="32"/>
        </w:rPr>
      </w:pPr>
      <w:bookmarkStart w:id="90" w:name="_Toc19099"/>
      <w:bookmarkStart w:id="91" w:name="_Toc22128"/>
      <w:bookmarkStart w:id="92" w:name="_Toc31141"/>
      <w:r>
        <w:rPr>
          <w:rFonts w:hint="eastAsia" w:ascii="仿宋_GB2312" w:hAnsi="仿宋_GB2312" w:eastAsia="仿宋_GB2312" w:cs="仿宋_GB2312"/>
          <w:color w:val="000000"/>
          <w:sz w:val="32"/>
          <w:szCs w:val="32"/>
        </w:rPr>
        <w:t>1.10 投标预备会</w:t>
      </w:r>
      <w:bookmarkEnd w:id="90"/>
      <w:bookmarkEnd w:id="91"/>
      <w:bookmarkEnd w:id="92"/>
    </w:p>
    <w:p w14:paraId="42D3C608">
      <w:pPr>
        <w:pStyle w:val="26"/>
        <w:widowControl/>
        <w:spacing w:before="0" w:line="592" w:lineRule="exact"/>
        <w:ind w:firstLine="640" w:firstLineChars="200"/>
        <w:rPr>
          <w:rFonts w:ascii="仿宋_GB2312" w:hAnsi="仿宋_GB2312" w:eastAsia="仿宋_GB2312" w:cs="仿宋_GB2312"/>
          <w:color w:val="000000"/>
          <w:sz w:val="32"/>
          <w:szCs w:val="32"/>
        </w:rPr>
      </w:pPr>
      <w:bookmarkStart w:id="93" w:name="_Toc25694"/>
      <w:bookmarkStart w:id="94" w:name="_Toc5511"/>
      <w:r>
        <w:rPr>
          <w:rFonts w:hint="eastAsia" w:ascii="仿宋_GB2312" w:hAnsi="仿宋_GB2312" w:eastAsia="仿宋_GB2312" w:cs="仿宋_GB2312"/>
          <w:color w:val="000000"/>
          <w:sz w:val="32"/>
          <w:szCs w:val="32"/>
        </w:rPr>
        <w:t>不召开。</w:t>
      </w:r>
      <w:bookmarkEnd w:id="93"/>
      <w:bookmarkEnd w:id="94"/>
    </w:p>
    <w:p w14:paraId="5160F640">
      <w:pPr>
        <w:pStyle w:val="26"/>
        <w:widowControl/>
        <w:spacing w:before="0" w:line="592" w:lineRule="exact"/>
        <w:ind w:firstLine="640" w:firstLineChars="200"/>
        <w:rPr>
          <w:rFonts w:ascii="仿宋_GB2312" w:hAnsi="仿宋_GB2312" w:eastAsia="仿宋_GB2312" w:cs="仿宋_GB2312"/>
          <w:color w:val="000000"/>
          <w:sz w:val="32"/>
          <w:szCs w:val="32"/>
        </w:rPr>
      </w:pPr>
      <w:bookmarkStart w:id="95" w:name="_Toc8170"/>
      <w:bookmarkStart w:id="96" w:name="_Toc7016"/>
      <w:bookmarkStart w:id="97" w:name="_Toc315"/>
      <w:r>
        <w:rPr>
          <w:rFonts w:hint="eastAsia" w:ascii="仿宋_GB2312" w:hAnsi="仿宋_GB2312" w:eastAsia="仿宋_GB2312" w:cs="仿宋_GB2312"/>
          <w:color w:val="000000"/>
          <w:sz w:val="32"/>
          <w:szCs w:val="32"/>
        </w:rPr>
        <w:t>1.11 分包</w:t>
      </w:r>
      <w:bookmarkEnd w:id="95"/>
      <w:bookmarkEnd w:id="96"/>
      <w:bookmarkEnd w:id="97"/>
    </w:p>
    <w:p w14:paraId="0FD3D935">
      <w:pPr>
        <w:pStyle w:val="26"/>
        <w:widowControl/>
        <w:spacing w:before="0" w:line="592" w:lineRule="exact"/>
        <w:ind w:firstLine="640" w:firstLineChars="200"/>
        <w:rPr>
          <w:rFonts w:ascii="仿宋_GB2312" w:hAnsi="仿宋_GB2312" w:eastAsia="仿宋_GB2312" w:cs="仿宋_GB2312"/>
          <w:color w:val="000000"/>
          <w:sz w:val="32"/>
          <w:szCs w:val="32"/>
        </w:rPr>
      </w:pPr>
      <w:bookmarkStart w:id="98" w:name="_Toc25592"/>
      <w:bookmarkStart w:id="99" w:name="_Toc12537"/>
      <w:r>
        <w:rPr>
          <w:rFonts w:hint="eastAsia" w:ascii="仿宋_GB2312" w:hAnsi="仿宋_GB2312" w:eastAsia="仿宋_GB2312" w:cs="仿宋_GB2312"/>
          <w:color w:val="000000"/>
          <w:sz w:val="32"/>
          <w:szCs w:val="32"/>
        </w:rPr>
        <w:t>不允许违法分包。</w:t>
      </w:r>
      <w:bookmarkEnd w:id="98"/>
      <w:bookmarkEnd w:id="99"/>
    </w:p>
    <w:p w14:paraId="4D408591">
      <w:pPr>
        <w:pStyle w:val="26"/>
        <w:widowControl/>
        <w:spacing w:before="0" w:line="592" w:lineRule="exact"/>
        <w:ind w:firstLine="640" w:firstLineChars="200"/>
        <w:rPr>
          <w:rFonts w:ascii="仿宋_GB2312" w:hAnsi="仿宋_GB2312" w:eastAsia="仿宋_GB2312" w:cs="仿宋_GB2312"/>
          <w:color w:val="000000"/>
          <w:sz w:val="32"/>
          <w:szCs w:val="32"/>
        </w:rPr>
      </w:pPr>
      <w:bookmarkStart w:id="100" w:name="_Toc32670"/>
      <w:bookmarkStart w:id="101" w:name="_Toc1027"/>
      <w:bookmarkStart w:id="102" w:name="_Toc30317"/>
      <w:r>
        <w:rPr>
          <w:rFonts w:hint="eastAsia" w:ascii="仿宋_GB2312" w:hAnsi="仿宋_GB2312" w:eastAsia="仿宋_GB2312" w:cs="仿宋_GB2312"/>
          <w:color w:val="000000"/>
          <w:sz w:val="32"/>
          <w:szCs w:val="32"/>
        </w:rPr>
        <w:t>1.12 偏离</w:t>
      </w:r>
      <w:bookmarkEnd w:id="100"/>
      <w:bookmarkEnd w:id="101"/>
      <w:bookmarkEnd w:id="102"/>
    </w:p>
    <w:p w14:paraId="3F50F82C">
      <w:pPr>
        <w:pStyle w:val="26"/>
        <w:widowControl/>
        <w:spacing w:before="0" w:line="592" w:lineRule="exact"/>
        <w:ind w:firstLine="640" w:firstLineChars="200"/>
        <w:rPr>
          <w:rFonts w:ascii="仿宋_GB2312" w:hAnsi="仿宋_GB2312" w:eastAsia="仿宋_GB2312" w:cs="仿宋_GB2312"/>
          <w:color w:val="000000"/>
          <w:sz w:val="32"/>
          <w:szCs w:val="32"/>
        </w:rPr>
      </w:pPr>
      <w:bookmarkStart w:id="103" w:name="_Toc236"/>
      <w:bookmarkStart w:id="104" w:name="_Toc1485"/>
      <w:r>
        <w:rPr>
          <w:rFonts w:hint="eastAsia" w:ascii="仿宋_GB2312" w:hAnsi="仿宋_GB2312" w:eastAsia="仿宋_GB2312" w:cs="仿宋_GB2312"/>
          <w:color w:val="000000"/>
          <w:sz w:val="32"/>
          <w:szCs w:val="32"/>
        </w:rPr>
        <w:t>不允许。</w:t>
      </w:r>
      <w:bookmarkEnd w:id="103"/>
      <w:bookmarkEnd w:id="104"/>
    </w:p>
    <w:p w14:paraId="204D8A6D">
      <w:pPr>
        <w:pStyle w:val="26"/>
        <w:widowControl/>
        <w:spacing w:before="0" w:line="592" w:lineRule="exact"/>
        <w:ind w:firstLine="640" w:firstLineChars="200"/>
        <w:rPr>
          <w:rFonts w:ascii="仿宋_GB2312" w:hAnsi="仿宋_GB2312" w:eastAsia="仿宋_GB2312" w:cs="仿宋_GB2312"/>
          <w:color w:val="000000"/>
          <w:sz w:val="32"/>
          <w:szCs w:val="32"/>
        </w:rPr>
      </w:pPr>
      <w:bookmarkStart w:id="105" w:name="_Toc32733"/>
      <w:bookmarkStart w:id="106" w:name="_Toc7467"/>
      <w:bookmarkStart w:id="107" w:name="_Toc19031"/>
      <w:r>
        <w:rPr>
          <w:rFonts w:hint="eastAsia" w:ascii="仿宋_GB2312" w:hAnsi="仿宋_GB2312" w:eastAsia="仿宋_GB2312" w:cs="仿宋_GB2312"/>
          <w:color w:val="000000"/>
          <w:sz w:val="32"/>
          <w:szCs w:val="32"/>
        </w:rPr>
        <w:t>2. 招标文件</w:t>
      </w:r>
      <w:bookmarkEnd w:id="105"/>
      <w:bookmarkEnd w:id="106"/>
      <w:bookmarkEnd w:id="107"/>
    </w:p>
    <w:p w14:paraId="59C4344A">
      <w:pPr>
        <w:pStyle w:val="26"/>
        <w:widowControl/>
        <w:spacing w:before="0" w:line="592" w:lineRule="exact"/>
        <w:ind w:firstLine="640" w:firstLineChars="200"/>
        <w:rPr>
          <w:rFonts w:ascii="仿宋_GB2312" w:hAnsi="仿宋_GB2312" w:eastAsia="仿宋_GB2312" w:cs="仿宋_GB2312"/>
          <w:color w:val="000000"/>
          <w:sz w:val="32"/>
          <w:szCs w:val="32"/>
        </w:rPr>
      </w:pPr>
      <w:bookmarkStart w:id="108" w:name="_Toc22335"/>
      <w:bookmarkStart w:id="109" w:name="_Toc604"/>
      <w:bookmarkStart w:id="110" w:name="_Toc20773"/>
      <w:r>
        <w:rPr>
          <w:rFonts w:hint="eastAsia" w:ascii="仿宋_GB2312" w:hAnsi="仿宋_GB2312" w:eastAsia="仿宋_GB2312" w:cs="仿宋_GB2312"/>
          <w:color w:val="000000"/>
          <w:sz w:val="32"/>
          <w:szCs w:val="32"/>
        </w:rPr>
        <w:t>2.1 招标文件的组成</w:t>
      </w:r>
      <w:bookmarkEnd w:id="108"/>
      <w:bookmarkEnd w:id="109"/>
      <w:bookmarkEnd w:id="110"/>
    </w:p>
    <w:p w14:paraId="5716D9AB">
      <w:pPr>
        <w:pStyle w:val="26"/>
        <w:widowControl/>
        <w:spacing w:before="0" w:line="592" w:lineRule="exact"/>
        <w:ind w:firstLine="640" w:firstLineChars="200"/>
        <w:rPr>
          <w:rFonts w:ascii="仿宋_GB2312" w:hAnsi="仿宋_GB2312" w:eastAsia="仿宋_GB2312" w:cs="仿宋_GB2312"/>
          <w:color w:val="000000"/>
          <w:sz w:val="32"/>
          <w:szCs w:val="32"/>
        </w:rPr>
      </w:pPr>
      <w:bookmarkStart w:id="111" w:name="_Toc8067"/>
      <w:bookmarkStart w:id="112" w:name="_Toc7503"/>
      <w:r>
        <w:rPr>
          <w:rFonts w:hint="eastAsia" w:ascii="仿宋_GB2312" w:hAnsi="仿宋_GB2312" w:eastAsia="仿宋_GB2312" w:cs="仿宋_GB2312"/>
          <w:color w:val="000000"/>
          <w:sz w:val="32"/>
          <w:szCs w:val="32"/>
        </w:rPr>
        <w:t>本次招标项目的招标文件包含以下部分：</w:t>
      </w:r>
      <w:bookmarkEnd w:id="111"/>
      <w:bookmarkEnd w:id="112"/>
    </w:p>
    <w:p w14:paraId="22A94658">
      <w:pPr>
        <w:pStyle w:val="26"/>
        <w:widowControl/>
        <w:spacing w:before="0" w:line="592" w:lineRule="exact"/>
        <w:ind w:firstLine="640" w:firstLineChars="200"/>
        <w:rPr>
          <w:rFonts w:ascii="仿宋_GB2312" w:hAnsi="仿宋_GB2312" w:eastAsia="仿宋_GB2312" w:cs="仿宋_GB2312"/>
          <w:color w:val="000000"/>
          <w:sz w:val="32"/>
          <w:szCs w:val="32"/>
        </w:rPr>
      </w:pPr>
      <w:bookmarkStart w:id="113" w:name="_Toc18332"/>
      <w:bookmarkStart w:id="114" w:name="_Toc10292"/>
      <w:r>
        <w:rPr>
          <w:rFonts w:hint="eastAsia" w:ascii="仿宋_GB2312" w:hAnsi="仿宋_GB2312" w:eastAsia="仿宋_GB2312" w:cs="仿宋_GB2312"/>
          <w:color w:val="000000"/>
          <w:sz w:val="32"/>
          <w:szCs w:val="32"/>
        </w:rPr>
        <w:t>（1）招标公告；</w:t>
      </w:r>
      <w:bookmarkEnd w:id="113"/>
      <w:bookmarkEnd w:id="114"/>
    </w:p>
    <w:p w14:paraId="52FC73E9">
      <w:pPr>
        <w:pStyle w:val="26"/>
        <w:widowControl/>
        <w:spacing w:before="0" w:line="592" w:lineRule="exact"/>
        <w:ind w:firstLine="640" w:firstLineChars="200"/>
        <w:rPr>
          <w:rFonts w:ascii="仿宋_GB2312" w:hAnsi="仿宋_GB2312" w:eastAsia="仿宋_GB2312" w:cs="仿宋_GB2312"/>
          <w:color w:val="000000"/>
          <w:sz w:val="32"/>
          <w:szCs w:val="32"/>
        </w:rPr>
      </w:pPr>
      <w:bookmarkStart w:id="115" w:name="_Toc23222"/>
      <w:bookmarkStart w:id="116" w:name="_Toc19123"/>
      <w:r>
        <w:rPr>
          <w:rFonts w:hint="eastAsia" w:ascii="仿宋_GB2312" w:hAnsi="仿宋_GB2312" w:eastAsia="仿宋_GB2312" w:cs="仿宋_GB2312"/>
          <w:color w:val="000000"/>
          <w:sz w:val="32"/>
          <w:szCs w:val="32"/>
        </w:rPr>
        <w:t>（2）投标人须知；</w:t>
      </w:r>
      <w:bookmarkEnd w:id="115"/>
      <w:bookmarkEnd w:id="116"/>
    </w:p>
    <w:p w14:paraId="39F79899">
      <w:pPr>
        <w:pStyle w:val="26"/>
        <w:widowControl/>
        <w:spacing w:before="0" w:line="592" w:lineRule="exact"/>
        <w:ind w:firstLine="640" w:firstLineChars="200"/>
        <w:rPr>
          <w:rFonts w:ascii="仿宋_GB2312" w:hAnsi="仿宋_GB2312" w:eastAsia="仿宋_GB2312" w:cs="仿宋_GB2312"/>
          <w:color w:val="000000"/>
          <w:sz w:val="32"/>
          <w:szCs w:val="32"/>
        </w:rPr>
      </w:pPr>
      <w:bookmarkStart w:id="117" w:name="_Toc9634"/>
      <w:bookmarkStart w:id="118" w:name="_Toc8487"/>
      <w:r>
        <w:rPr>
          <w:rFonts w:hint="eastAsia" w:ascii="仿宋_GB2312" w:hAnsi="仿宋_GB2312" w:eastAsia="仿宋_GB2312" w:cs="仿宋_GB2312"/>
          <w:color w:val="000000"/>
          <w:sz w:val="32"/>
          <w:szCs w:val="32"/>
        </w:rPr>
        <w:t>（3）评标办法；</w:t>
      </w:r>
      <w:bookmarkEnd w:id="117"/>
      <w:bookmarkEnd w:id="118"/>
    </w:p>
    <w:p w14:paraId="6AA5EF16">
      <w:pPr>
        <w:pStyle w:val="26"/>
        <w:widowControl/>
        <w:spacing w:before="0" w:line="592" w:lineRule="exact"/>
        <w:ind w:firstLine="640" w:firstLineChars="200"/>
        <w:rPr>
          <w:rFonts w:ascii="仿宋_GB2312" w:hAnsi="仿宋_GB2312" w:eastAsia="仿宋_GB2312" w:cs="仿宋_GB2312"/>
          <w:color w:val="000000"/>
          <w:sz w:val="32"/>
          <w:szCs w:val="32"/>
        </w:rPr>
      </w:pPr>
      <w:bookmarkStart w:id="119" w:name="_Toc1269"/>
      <w:bookmarkStart w:id="120" w:name="_Toc3477"/>
      <w:r>
        <w:rPr>
          <w:rFonts w:hint="eastAsia" w:ascii="仿宋_GB2312" w:hAnsi="仿宋_GB2312" w:eastAsia="仿宋_GB2312" w:cs="仿宋_GB2312"/>
          <w:color w:val="000000"/>
          <w:sz w:val="32"/>
          <w:szCs w:val="32"/>
        </w:rPr>
        <w:t>（4）合同条款及格式；</w:t>
      </w:r>
      <w:bookmarkEnd w:id="119"/>
      <w:bookmarkEnd w:id="120"/>
    </w:p>
    <w:p w14:paraId="7AD20019">
      <w:pPr>
        <w:pStyle w:val="26"/>
        <w:widowControl/>
        <w:spacing w:before="0" w:line="592" w:lineRule="exact"/>
        <w:ind w:firstLine="640" w:firstLineChars="200"/>
        <w:rPr>
          <w:rFonts w:ascii="仿宋_GB2312" w:hAnsi="仿宋_GB2312" w:eastAsia="仿宋_GB2312" w:cs="仿宋_GB2312"/>
          <w:color w:val="000000"/>
          <w:sz w:val="32"/>
          <w:szCs w:val="32"/>
        </w:rPr>
      </w:pPr>
      <w:bookmarkStart w:id="121" w:name="_Toc3099"/>
      <w:bookmarkStart w:id="122" w:name="_Toc12392"/>
      <w:r>
        <w:rPr>
          <w:rFonts w:hint="eastAsia" w:ascii="仿宋_GB2312" w:hAnsi="仿宋_GB2312" w:eastAsia="仿宋_GB2312" w:cs="仿宋_GB2312"/>
          <w:color w:val="000000"/>
          <w:sz w:val="32"/>
          <w:szCs w:val="32"/>
        </w:rPr>
        <w:t>（5）技术标准和要求</w:t>
      </w:r>
      <w:bookmarkEnd w:id="121"/>
      <w:bookmarkEnd w:id="122"/>
    </w:p>
    <w:p w14:paraId="655AA881">
      <w:pPr>
        <w:pStyle w:val="26"/>
        <w:widowControl/>
        <w:spacing w:before="0" w:line="592" w:lineRule="exact"/>
        <w:ind w:firstLine="640" w:firstLineChars="200"/>
        <w:rPr>
          <w:rFonts w:ascii="仿宋_GB2312" w:hAnsi="仿宋_GB2312" w:eastAsia="仿宋_GB2312" w:cs="仿宋_GB2312"/>
          <w:color w:val="000000"/>
          <w:sz w:val="32"/>
          <w:szCs w:val="32"/>
        </w:rPr>
      </w:pPr>
      <w:bookmarkStart w:id="123" w:name="_Toc29884"/>
      <w:bookmarkStart w:id="124" w:name="_Toc19340"/>
      <w:r>
        <w:rPr>
          <w:rFonts w:hint="eastAsia" w:ascii="仿宋_GB2312" w:hAnsi="仿宋_GB2312" w:eastAsia="仿宋_GB2312" w:cs="仿宋_GB2312"/>
          <w:color w:val="000000"/>
          <w:sz w:val="32"/>
          <w:szCs w:val="32"/>
        </w:rPr>
        <w:t>（6）投标文件格式</w:t>
      </w:r>
      <w:bookmarkEnd w:id="123"/>
      <w:bookmarkEnd w:id="124"/>
    </w:p>
    <w:p w14:paraId="61FF4C94">
      <w:pPr>
        <w:pStyle w:val="26"/>
        <w:widowControl/>
        <w:spacing w:before="0" w:line="592" w:lineRule="exact"/>
        <w:ind w:firstLine="640" w:firstLineChars="200"/>
        <w:rPr>
          <w:rFonts w:ascii="仿宋_GB2312" w:hAnsi="仿宋_GB2312" w:eastAsia="仿宋_GB2312" w:cs="仿宋_GB2312"/>
          <w:color w:val="000000"/>
          <w:sz w:val="32"/>
          <w:szCs w:val="32"/>
        </w:rPr>
      </w:pPr>
      <w:bookmarkStart w:id="125" w:name="_Toc10988"/>
      <w:bookmarkStart w:id="126" w:name="_Toc2271"/>
      <w:r>
        <w:rPr>
          <w:rFonts w:hint="eastAsia" w:ascii="仿宋_GB2312" w:hAnsi="仿宋_GB2312" w:eastAsia="仿宋_GB2312" w:cs="仿宋_GB2312"/>
          <w:color w:val="000000"/>
          <w:sz w:val="32"/>
          <w:szCs w:val="32"/>
        </w:rPr>
        <w:t>（7）投标人须知前附表规定的其他材料。</w:t>
      </w:r>
      <w:bookmarkEnd w:id="125"/>
      <w:bookmarkEnd w:id="126"/>
    </w:p>
    <w:p w14:paraId="1A29C34D">
      <w:pPr>
        <w:pStyle w:val="26"/>
        <w:widowControl/>
        <w:spacing w:before="0" w:line="592" w:lineRule="exact"/>
        <w:ind w:firstLine="640" w:firstLineChars="200"/>
        <w:rPr>
          <w:rFonts w:ascii="仿宋_GB2312" w:hAnsi="仿宋_GB2312" w:eastAsia="仿宋_GB2312" w:cs="仿宋_GB2312"/>
          <w:color w:val="000000"/>
          <w:sz w:val="32"/>
          <w:szCs w:val="32"/>
        </w:rPr>
      </w:pPr>
      <w:bookmarkStart w:id="127" w:name="_Toc6116"/>
      <w:bookmarkStart w:id="128" w:name="_Toc14663"/>
      <w:r>
        <w:rPr>
          <w:rFonts w:hint="eastAsia" w:ascii="仿宋_GB2312" w:hAnsi="仿宋_GB2312" w:eastAsia="仿宋_GB2312" w:cs="仿宋_GB2312"/>
          <w:color w:val="000000"/>
          <w:sz w:val="32"/>
          <w:szCs w:val="32"/>
        </w:rPr>
        <w:t>本招标文件第四章“合同条款及格式”是招标文件的重要组成部分，投标人必须仔细阅读并充分理解。投标人一旦中标，必须按照本招标文件第四章“合同条款及格式”已约定的内容和格式与招标人签订合同。</w:t>
      </w:r>
      <w:bookmarkEnd w:id="127"/>
      <w:bookmarkEnd w:id="128"/>
    </w:p>
    <w:p w14:paraId="4F362C46">
      <w:pPr>
        <w:pStyle w:val="26"/>
        <w:widowControl/>
        <w:spacing w:before="0" w:line="592" w:lineRule="exact"/>
        <w:ind w:firstLine="640" w:firstLineChars="200"/>
        <w:rPr>
          <w:rFonts w:ascii="仿宋_GB2312" w:hAnsi="仿宋_GB2312" w:eastAsia="仿宋_GB2312" w:cs="仿宋_GB2312"/>
          <w:color w:val="000000"/>
          <w:sz w:val="32"/>
          <w:szCs w:val="32"/>
        </w:rPr>
      </w:pPr>
      <w:bookmarkStart w:id="129" w:name="_Toc27766"/>
      <w:bookmarkStart w:id="130" w:name="_Toc10248"/>
      <w:bookmarkStart w:id="131" w:name="_Toc3106"/>
      <w:r>
        <w:rPr>
          <w:rFonts w:hint="eastAsia" w:ascii="仿宋_GB2312" w:hAnsi="仿宋_GB2312" w:eastAsia="仿宋_GB2312" w:cs="仿宋_GB2312"/>
          <w:color w:val="000000"/>
          <w:sz w:val="32"/>
          <w:szCs w:val="32"/>
        </w:rPr>
        <w:t>2.2 招标文件的澄清</w:t>
      </w:r>
      <w:bookmarkEnd w:id="129"/>
      <w:bookmarkEnd w:id="130"/>
      <w:bookmarkEnd w:id="131"/>
    </w:p>
    <w:p w14:paraId="6C4D6852">
      <w:pPr>
        <w:pStyle w:val="26"/>
        <w:widowControl/>
        <w:spacing w:before="0" w:line="592" w:lineRule="exact"/>
        <w:ind w:firstLine="640" w:firstLineChars="200"/>
        <w:rPr>
          <w:rFonts w:ascii="仿宋_GB2312" w:hAnsi="仿宋_GB2312" w:eastAsia="仿宋_GB2312" w:cs="仿宋_GB2312"/>
          <w:color w:val="000000"/>
          <w:sz w:val="32"/>
          <w:szCs w:val="32"/>
        </w:rPr>
      </w:pPr>
      <w:bookmarkStart w:id="132" w:name="_Toc18801"/>
      <w:bookmarkStart w:id="133" w:name="_Toc10177"/>
      <w:r>
        <w:rPr>
          <w:rFonts w:hint="eastAsia" w:ascii="仿宋_GB2312" w:hAnsi="仿宋_GB2312" w:eastAsia="仿宋_GB2312" w:cs="仿宋_GB2312"/>
          <w:color w:val="000000"/>
          <w:sz w:val="32"/>
          <w:szCs w:val="32"/>
        </w:rPr>
        <w:t>2.2.1投标人应仔细阅读和检查招标文件的全部内容。如发现缺页或附件不全，应及时向招标人提出，以便补齐。投标人若对招标文件有疑问的，应按照投标人须知前附表“投标人提出疑问的时间及方式”条款的规定提出问题。</w:t>
      </w:r>
      <w:bookmarkEnd w:id="132"/>
      <w:bookmarkEnd w:id="133"/>
    </w:p>
    <w:p w14:paraId="70A80B65">
      <w:pPr>
        <w:pStyle w:val="26"/>
        <w:widowControl/>
        <w:spacing w:before="0" w:line="592" w:lineRule="exact"/>
        <w:ind w:firstLine="640" w:firstLineChars="200"/>
        <w:rPr>
          <w:rFonts w:ascii="仿宋_GB2312" w:hAnsi="仿宋_GB2312" w:eastAsia="仿宋_GB2312" w:cs="仿宋_GB2312"/>
          <w:color w:val="000000"/>
          <w:sz w:val="32"/>
          <w:szCs w:val="32"/>
        </w:rPr>
      </w:pPr>
      <w:bookmarkStart w:id="134" w:name="_Toc4968"/>
      <w:bookmarkStart w:id="135" w:name="_Toc11908"/>
      <w:bookmarkStart w:id="136" w:name="_Toc9772"/>
      <w:r>
        <w:rPr>
          <w:rFonts w:hint="eastAsia" w:ascii="仿宋_GB2312" w:hAnsi="仿宋_GB2312" w:eastAsia="仿宋_GB2312" w:cs="仿宋_GB2312"/>
          <w:color w:val="000000"/>
          <w:sz w:val="32"/>
          <w:szCs w:val="32"/>
        </w:rPr>
        <w:t>3. 投标文件</w:t>
      </w:r>
      <w:bookmarkEnd w:id="134"/>
      <w:bookmarkEnd w:id="135"/>
      <w:bookmarkEnd w:id="136"/>
    </w:p>
    <w:p w14:paraId="79CA1A66">
      <w:pPr>
        <w:pStyle w:val="26"/>
        <w:widowControl/>
        <w:spacing w:before="0" w:line="592" w:lineRule="exact"/>
        <w:ind w:firstLine="640" w:firstLineChars="200"/>
        <w:rPr>
          <w:rFonts w:ascii="仿宋_GB2312" w:hAnsi="仿宋_GB2312" w:eastAsia="仿宋_GB2312" w:cs="仿宋_GB2312"/>
          <w:color w:val="000000"/>
          <w:sz w:val="32"/>
          <w:szCs w:val="32"/>
        </w:rPr>
      </w:pPr>
      <w:bookmarkStart w:id="137" w:name="_Toc2762"/>
      <w:bookmarkStart w:id="138" w:name="_Toc27304"/>
      <w:bookmarkStart w:id="139" w:name="_Toc32737"/>
      <w:r>
        <w:rPr>
          <w:rFonts w:hint="eastAsia" w:ascii="仿宋_GB2312" w:hAnsi="仿宋_GB2312" w:eastAsia="仿宋_GB2312" w:cs="仿宋_GB2312"/>
          <w:color w:val="000000"/>
          <w:sz w:val="32"/>
          <w:szCs w:val="32"/>
        </w:rPr>
        <w:t>3.1 投标文件的组成</w:t>
      </w:r>
      <w:bookmarkEnd w:id="137"/>
      <w:bookmarkEnd w:id="138"/>
      <w:bookmarkEnd w:id="139"/>
    </w:p>
    <w:p w14:paraId="5963ACDF">
      <w:pPr>
        <w:pStyle w:val="26"/>
        <w:widowControl/>
        <w:spacing w:before="0" w:line="592" w:lineRule="exact"/>
        <w:ind w:firstLine="640" w:firstLineChars="200"/>
        <w:rPr>
          <w:rFonts w:ascii="仿宋_GB2312" w:hAnsi="仿宋_GB2312" w:eastAsia="仿宋_GB2312" w:cs="仿宋_GB2312"/>
          <w:color w:val="000000"/>
          <w:sz w:val="32"/>
          <w:szCs w:val="32"/>
        </w:rPr>
      </w:pPr>
      <w:bookmarkStart w:id="140" w:name="_Toc27644"/>
      <w:bookmarkStart w:id="141" w:name="_Toc7305"/>
      <w:r>
        <w:rPr>
          <w:rFonts w:hint="eastAsia" w:ascii="仿宋_GB2312" w:hAnsi="仿宋_GB2312" w:eastAsia="仿宋_GB2312" w:cs="仿宋_GB2312"/>
          <w:color w:val="000000"/>
          <w:sz w:val="32"/>
          <w:szCs w:val="32"/>
        </w:rPr>
        <w:t>3.1.1 投标文件包括下列内容：</w:t>
      </w:r>
      <w:bookmarkEnd w:id="140"/>
      <w:bookmarkEnd w:id="141"/>
    </w:p>
    <w:p w14:paraId="5FEBBD8D">
      <w:pPr>
        <w:pStyle w:val="26"/>
        <w:widowControl/>
        <w:spacing w:before="0" w:line="592" w:lineRule="exact"/>
        <w:ind w:firstLine="640" w:firstLineChars="200"/>
        <w:rPr>
          <w:rFonts w:ascii="仿宋_GB2312" w:hAnsi="仿宋_GB2312" w:eastAsia="仿宋_GB2312" w:cs="仿宋_GB2312"/>
          <w:color w:val="000000"/>
          <w:sz w:val="32"/>
          <w:szCs w:val="32"/>
        </w:rPr>
      </w:pPr>
      <w:bookmarkStart w:id="142" w:name="_Toc20293"/>
      <w:bookmarkStart w:id="143" w:name="_Toc7364"/>
      <w:r>
        <w:rPr>
          <w:rFonts w:hint="eastAsia" w:ascii="仿宋_GB2312" w:hAnsi="仿宋_GB2312" w:eastAsia="仿宋_GB2312" w:cs="仿宋_GB2312"/>
          <w:color w:val="000000"/>
          <w:sz w:val="32"/>
          <w:szCs w:val="32"/>
        </w:rPr>
        <w:t>（1）投标函；</w:t>
      </w:r>
      <w:bookmarkEnd w:id="142"/>
      <w:bookmarkEnd w:id="143"/>
    </w:p>
    <w:p w14:paraId="71D3C28E">
      <w:pPr>
        <w:pStyle w:val="26"/>
        <w:widowControl/>
        <w:spacing w:before="0" w:line="592" w:lineRule="exact"/>
        <w:ind w:firstLine="640" w:firstLineChars="200"/>
        <w:rPr>
          <w:rFonts w:ascii="仿宋_GB2312" w:hAnsi="仿宋_GB2312" w:eastAsia="仿宋_GB2312" w:cs="仿宋_GB2312"/>
          <w:color w:val="000000"/>
          <w:sz w:val="32"/>
          <w:szCs w:val="32"/>
        </w:rPr>
      </w:pPr>
      <w:bookmarkStart w:id="144" w:name="_Toc25644"/>
      <w:bookmarkStart w:id="145" w:name="_Toc5628"/>
      <w:r>
        <w:rPr>
          <w:rFonts w:hint="eastAsia" w:ascii="仿宋_GB2312" w:hAnsi="仿宋_GB2312" w:eastAsia="仿宋_GB2312" w:cs="仿宋_GB2312"/>
          <w:color w:val="000000"/>
          <w:sz w:val="32"/>
          <w:szCs w:val="32"/>
        </w:rPr>
        <w:t>（2）法定代表人身份证明或附有法定代表人身份证明的授权委托书；</w:t>
      </w:r>
      <w:bookmarkEnd w:id="144"/>
      <w:bookmarkEnd w:id="145"/>
    </w:p>
    <w:p w14:paraId="63DBB6D9">
      <w:pPr>
        <w:pStyle w:val="26"/>
        <w:widowControl/>
        <w:spacing w:before="0" w:line="592" w:lineRule="exact"/>
        <w:ind w:firstLine="640" w:firstLineChars="200"/>
        <w:rPr>
          <w:rFonts w:ascii="仿宋_GB2312" w:hAnsi="仿宋_GB2312" w:eastAsia="仿宋_GB2312" w:cs="仿宋_GB2312"/>
          <w:color w:val="000000"/>
          <w:sz w:val="32"/>
          <w:szCs w:val="32"/>
        </w:rPr>
      </w:pPr>
      <w:bookmarkStart w:id="146" w:name="_Toc8339"/>
      <w:bookmarkStart w:id="147" w:name="_Toc5533"/>
      <w:r>
        <w:rPr>
          <w:rFonts w:hint="eastAsia" w:ascii="仿宋_GB2312" w:hAnsi="仿宋_GB2312" w:eastAsia="仿宋_GB2312" w:cs="仿宋_GB2312"/>
          <w:color w:val="000000"/>
          <w:sz w:val="32"/>
          <w:szCs w:val="32"/>
        </w:rPr>
        <w:t>（3）开标一览表；</w:t>
      </w:r>
      <w:bookmarkEnd w:id="146"/>
      <w:bookmarkEnd w:id="147"/>
    </w:p>
    <w:p w14:paraId="7F028702">
      <w:pPr>
        <w:pStyle w:val="26"/>
        <w:widowControl/>
        <w:spacing w:before="0" w:line="592" w:lineRule="exact"/>
        <w:ind w:firstLine="640" w:firstLineChars="200"/>
        <w:rPr>
          <w:rFonts w:ascii="仿宋_GB2312" w:hAnsi="仿宋_GB2312" w:eastAsia="仿宋_GB2312" w:cs="仿宋_GB2312"/>
          <w:color w:val="000000"/>
          <w:sz w:val="32"/>
          <w:szCs w:val="32"/>
        </w:rPr>
      </w:pPr>
      <w:bookmarkStart w:id="148" w:name="_Toc4937"/>
      <w:bookmarkStart w:id="149" w:name="_Toc2683"/>
      <w:r>
        <w:rPr>
          <w:rFonts w:hint="eastAsia" w:ascii="仿宋_GB2312" w:hAnsi="仿宋_GB2312" w:eastAsia="仿宋_GB2312" w:cs="仿宋_GB2312"/>
          <w:color w:val="000000"/>
          <w:sz w:val="32"/>
          <w:szCs w:val="32"/>
        </w:rPr>
        <w:t>（4）项目管理机构</w:t>
      </w:r>
      <w:bookmarkEnd w:id="148"/>
      <w:bookmarkEnd w:id="149"/>
    </w:p>
    <w:p w14:paraId="1F025250">
      <w:pPr>
        <w:pStyle w:val="26"/>
        <w:widowControl/>
        <w:spacing w:before="0" w:line="592" w:lineRule="exact"/>
        <w:ind w:firstLine="640" w:firstLineChars="200"/>
        <w:rPr>
          <w:rFonts w:ascii="仿宋_GB2312" w:hAnsi="仿宋_GB2312" w:eastAsia="仿宋_GB2312" w:cs="仿宋_GB2312"/>
          <w:color w:val="000000"/>
          <w:sz w:val="32"/>
          <w:szCs w:val="32"/>
        </w:rPr>
      </w:pPr>
      <w:bookmarkStart w:id="150" w:name="_Toc14244"/>
      <w:bookmarkStart w:id="151" w:name="_Toc28606"/>
      <w:r>
        <w:rPr>
          <w:rFonts w:hint="eastAsia" w:ascii="仿宋_GB2312" w:hAnsi="仿宋_GB2312" w:eastAsia="仿宋_GB2312" w:cs="仿宋_GB2312"/>
          <w:color w:val="000000"/>
          <w:sz w:val="32"/>
          <w:szCs w:val="32"/>
        </w:rPr>
        <w:t>（5）资格审查材料</w:t>
      </w:r>
      <w:bookmarkEnd w:id="150"/>
      <w:bookmarkEnd w:id="151"/>
    </w:p>
    <w:p w14:paraId="371C80D5">
      <w:pPr>
        <w:pStyle w:val="26"/>
        <w:widowControl/>
        <w:spacing w:before="0" w:line="592" w:lineRule="exact"/>
        <w:ind w:firstLine="640" w:firstLineChars="200"/>
        <w:rPr>
          <w:rFonts w:ascii="仿宋_GB2312" w:hAnsi="仿宋_GB2312" w:eastAsia="仿宋_GB2312" w:cs="仿宋_GB2312"/>
          <w:color w:val="000000"/>
          <w:sz w:val="32"/>
          <w:szCs w:val="32"/>
        </w:rPr>
      </w:pPr>
      <w:bookmarkStart w:id="152" w:name="_Toc31057"/>
      <w:bookmarkStart w:id="153" w:name="_Toc5648"/>
      <w:r>
        <w:rPr>
          <w:rFonts w:hint="eastAsia" w:ascii="仿宋_GB2312" w:hAnsi="仿宋_GB2312" w:eastAsia="仿宋_GB2312" w:cs="仿宋_GB2312"/>
          <w:color w:val="000000"/>
          <w:sz w:val="32"/>
          <w:szCs w:val="32"/>
        </w:rPr>
        <w:t>（6）投标人须知前附表规定的其他材料。</w:t>
      </w:r>
      <w:bookmarkEnd w:id="152"/>
      <w:bookmarkEnd w:id="153"/>
    </w:p>
    <w:p w14:paraId="5B8746F1">
      <w:pPr>
        <w:pStyle w:val="26"/>
        <w:widowControl/>
        <w:spacing w:before="0" w:line="592" w:lineRule="exact"/>
        <w:ind w:firstLine="640" w:firstLineChars="200"/>
        <w:rPr>
          <w:rFonts w:ascii="仿宋_GB2312" w:hAnsi="仿宋_GB2312" w:eastAsia="仿宋_GB2312" w:cs="仿宋_GB2312"/>
          <w:color w:val="000000"/>
          <w:sz w:val="32"/>
          <w:szCs w:val="32"/>
        </w:rPr>
      </w:pPr>
      <w:bookmarkStart w:id="154" w:name="_Toc31615"/>
      <w:bookmarkStart w:id="155" w:name="_Toc31674"/>
      <w:bookmarkStart w:id="156" w:name="_Toc28491"/>
      <w:r>
        <w:rPr>
          <w:rFonts w:hint="eastAsia" w:ascii="仿宋_GB2312" w:hAnsi="仿宋_GB2312" w:eastAsia="仿宋_GB2312" w:cs="仿宋_GB2312"/>
          <w:color w:val="000000"/>
          <w:sz w:val="32"/>
          <w:szCs w:val="32"/>
        </w:rPr>
        <w:t>3.2 投标报价</w:t>
      </w:r>
      <w:bookmarkEnd w:id="154"/>
      <w:bookmarkEnd w:id="155"/>
      <w:bookmarkEnd w:id="156"/>
    </w:p>
    <w:p w14:paraId="467E6756">
      <w:pPr>
        <w:pStyle w:val="26"/>
        <w:widowControl/>
        <w:spacing w:before="0" w:line="592" w:lineRule="exact"/>
        <w:ind w:firstLine="640" w:firstLineChars="200"/>
        <w:rPr>
          <w:rFonts w:ascii="仿宋_GB2312" w:hAnsi="仿宋_GB2312" w:eastAsia="仿宋_GB2312" w:cs="仿宋_GB2312"/>
          <w:color w:val="000000"/>
          <w:sz w:val="32"/>
          <w:szCs w:val="32"/>
        </w:rPr>
      </w:pPr>
      <w:bookmarkStart w:id="157" w:name="_Toc28679"/>
      <w:bookmarkStart w:id="158" w:name="_Toc18235"/>
      <w:r>
        <w:rPr>
          <w:rFonts w:hint="eastAsia" w:ascii="仿宋_GB2312" w:hAnsi="仿宋_GB2312" w:eastAsia="仿宋_GB2312" w:cs="仿宋_GB2312"/>
          <w:color w:val="000000"/>
          <w:sz w:val="32"/>
          <w:szCs w:val="32"/>
        </w:rPr>
        <w:t>3.2.1 报价要求：投标人须根据本招标文件、工程量清单、技术标准和要求以及市场情况，进行自主报价。工程量清单中的每一子目均需填报综合单价和合价，只允许有一个报价，不得有选择性报价。</w:t>
      </w:r>
      <w:bookmarkEnd w:id="157"/>
      <w:bookmarkEnd w:id="158"/>
    </w:p>
    <w:p w14:paraId="1D9A1CFC">
      <w:pPr>
        <w:pStyle w:val="26"/>
        <w:widowControl/>
        <w:spacing w:before="0" w:line="592" w:lineRule="exact"/>
        <w:ind w:firstLine="640" w:firstLineChars="200"/>
        <w:rPr>
          <w:rFonts w:ascii="仿宋_GB2312" w:hAnsi="仿宋_GB2312" w:eastAsia="仿宋_GB2312" w:cs="仿宋_GB2312"/>
          <w:color w:val="000000"/>
          <w:sz w:val="32"/>
          <w:szCs w:val="32"/>
        </w:rPr>
      </w:pPr>
      <w:bookmarkStart w:id="159" w:name="_Toc21939"/>
      <w:bookmarkStart w:id="160" w:name="_Toc14203"/>
      <w:r>
        <w:rPr>
          <w:rFonts w:hint="eastAsia" w:ascii="仿宋_GB2312" w:hAnsi="仿宋_GB2312" w:eastAsia="仿宋_GB2312" w:cs="仿宋_GB2312"/>
          <w:color w:val="000000"/>
          <w:sz w:val="32"/>
          <w:szCs w:val="32"/>
        </w:rPr>
        <w:t>3.2.2 报价完整性：所填报的综合单价和总价，应已全面包含为完成该项目清单子目所明示或暗示的全部工作内容、责任、义务和风险。具体包括：人工费、材料费（除甲供材本身价值）、施工机具使用费；管理费、利润；措施项目费（如安全文明施工费、夜间施工费、冬雨季施工费、春节赶工措施费、成品保护、检验费等）、规费、税金（增值税）；</w:t>
      </w:r>
      <w:bookmarkEnd w:id="159"/>
      <w:bookmarkEnd w:id="160"/>
    </w:p>
    <w:p w14:paraId="19985CDC">
      <w:pPr>
        <w:pStyle w:val="26"/>
        <w:widowControl/>
        <w:spacing w:before="0" w:line="592" w:lineRule="exact"/>
        <w:ind w:firstLine="640" w:firstLineChars="200"/>
        <w:rPr>
          <w:rFonts w:ascii="仿宋_GB2312" w:hAnsi="仿宋_GB2312" w:eastAsia="仿宋_GB2312" w:cs="仿宋_GB2312"/>
          <w:color w:val="000000"/>
          <w:sz w:val="32"/>
          <w:szCs w:val="32"/>
        </w:rPr>
      </w:pPr>
      <w:bookmarkStart w:id="161" w:name="_Toc2165"/>
      <w:bookmarkStart w:id="162" w:name="_Toc1448"/>
      <w:r>
        <w:rPr>
          <w:rFonts w:hint="eastAsia" w:ascii="仿宋_GB2312" w:hAnsi="仿宋_GB2312" w:eastAsia="仿宋_GB2312" w:cs="仿宋_GB2312"/>
          <w:color w:val="000000"/>
          <w:sz w:val="32"/>
          <w:szCs w:val="32"/>
        </w:rPr>
        <w:t>3.2.3 漏项与风险：投标人应对工程量清单进行认真核查。凡在工程量清单中未填报单价或价格的项目，招标人将视为此项目的费用已包含在工程量清单的其他项目的单价或合价中。中标后，招标人对此类未报价项目将不予另行支付。</w:t>
      </w:r>
      <w:bookmarkEnd w:id="161"/>
      <w:bookmarkEnd w:id="162"/>
    </w:p>
    <w:p w14:paraId="4AF1DAE6">
      <w:pPr>
        <w:pStyle w:val="26"/>
        <w:widowControl/>
        <w:spacing w:before="0" w:line="592" w:lineRule="exact"/>
        <w:ind w:firstLine="640" w:firstLineChars="200"/>
        <w:rPr>
          <w:rFonts w:ascii="仿宋_GB2312" w:hAnsi="仿宋_GB2312" w:eastAsia="仿宋_GB2312" w:cs="仿宋_GB2312"/>
          <w:color w:val="000000"/>
          <w:sz w:val="32"/>
          <w:szCs w:val="32"/>
        </w:rPr>
      </w:pPr>
      <w:bookmarkStart w:id="163" w:name="_Toc6352"/>
      <w:bookmarkStart w:id="164" w:name="_Toc15621"/>
      <w:r>
        <w:rPr>
          <w:rFonts w:hint="eastAsia" w:ascii="仿宋_GB2312" w:hAnsi="仿宋_GB2312" w:eastAsia="仿宋_GB2312" w:cs="仿宋_GB2312"/>
          <w:color w:val="000000"/>
          <w:sz w:val="32"/>
          <w:szCs w:val="32"/>
        </w:rPr>
        <w:t>3.2.4 报价形式：投标总报价应为人民币报价，单位为“元”。投标人须在《开标一览表》中填写投标总价（大写及小写），并在已标价的工程量清单文件中提供详细的单价分析。</w:t>
      </w:r>
      <w:bookmarkEnd w:id="163"/>
      <w:bookmarkEnd w:id="164"/>
    </w:p>
    <w:p w14:paraId="7EBC8133">
      <w:pPr>
        <w:pStyle w:val="26"/>
        <w:widowControl/>
        <w:spacing w:before="0" w:line="592" w:lineRule="exact"/>
        <w:ind w:firstLine="640" w:firstLineChars="200"/>
        <w:rPr>
          <w:rFonts w:ascii="仿宋_GB2312" w:hAnsi="仿宋_GB2312" w:eastAsia="仿宋_GB2312" w:cs="仿宋_GB2312"/>
          <w:color w:val="000000"/>
          <w:sz w:val="32"/>
          <w:szCs w:val="32"/>
        </w:rPr>
      </w:pPr>
      <w:bookmarkStart w:id="165" w:name="_Toc17100"/>
      <w:bookmarkStart w:id="166" w:name="_Toc25718"/>
      <w:r>
        <w:rPr>
          <w:rFonts w:hint="eastAsia" w:ascii="仿宋_GB2312" w:hAnsi="仿宋_GB2312" w:eastAsia="仿宋_GB2312" w:cs="仿宋_GB2312"/>
          <w:color w:val="000000"/>
          <w:sz w:val="32"/>
          <w:szCs w:val="32"/>
        </w:rPr>
        <w:t>3.2.5 暂列金额：工程量清单中列出的“暂列金额”为招标人可能用于工程变更等事项的备用金，投标人应按招标文件列出的金额直接计入投标总价，不得变动。</w:t>
      </w:r>
      <w:bookmarkEnd w:id="165"/>
      <w:bookmarkEnd w:id="166"/>
    </w:p>
    <w:p w14:paraId="0AC22FA9">
      <w:pPr>
        <w:pStyle w:val="26"/>
        <w:widowControl/>
        <w:spacing w:before="0" w:line="592" w:lineRule="exact"/>
        <w:ind w:firstLine="640" w:firstLineChars="200"/>
        <w:rPr>
          <w:rFonts w:ascii="仿宋_GB2312" w:hAnsi="仿宋_GB2312" w:eastAsia="仿宋_GB2312" w:cs="仿宋_GB2312"/>
          <w:color w:val="000000"/>
          <w:sz w:val="32"/>
          <w:szCs w:val="32"/>
        </w:rPr>
      </w:pPr>
      <w:bookmarkStart w:id="167" w:name="_Toc14659"/>
      <w:bookmarkStart w:id="168" w:name="_Toc26519"/>
      <w:r>
        <w:rPr>
          <w:rFonts w:hint="eastAsia" w:ascii="仿宋_GB2312" w:hAnsi="仿宋_GB2312" w:eastAsia="仿宋_GB2312" w:cs="仿宋_GB2312"/>
          <w:color w:val="000000"/>
          <w:sz w:val="32"/>
          <w:szCs w:val="32"/>
        </w:rPr>
        <w:t>3.2.6 风险承担：投标人应充分考虑施工期间市场价格波动（除合同条款另有约定外）、冬季施工、春节假期、工期极端紧张等各类风险因素，并在报价中自行承担相关风险费用。招标人将认为投标人的报价已覆盖其应预见的全部风险。</w:t>
      </w:r>
      <w:bookmarkEnd w:id="167"/>
      <w:bookmarkEnd w:id="168"/>
    </w:p>
    <w:p w14:paraId="38A3F1EB">
      <w:pPr>
        <w:pStyle w:val="26"/>
        <w:widowControl/>
        <w:spacing w:before="0" w:line="592" w:lineRule="exact"/>
        <w:ind w:firstLine="640" w:firstLineChars="200"/>
        <w:rPr>
          <w:rFonts w:ascii="仿宋_GB2312" w:hAnsi="仿宋_GB2312" w:eastAsia="仿宋_GB2312" w:cs="仿宋_GB2312"/>
          <w:color w:val="000000"/>
          <w:sz w:val="32"/>
          <w:szCs w:val="32"/>
        </w:rPr>
      </w:pPr>
    </w:p>
    <w:p w14:paraId="363FC154">
      <w:pPr>
        <w:pStyle w:val="26"/>
        <w:widowControl/>
        <w:spacing w:before="0" w:line="592" w:lineRule="exact"/>
        <w:ind w:firstLine="640" w:firstLineChars="200"/>
        <w:rPr>
          <w:rFonts w:ascii="仿宋_GB2312" w:hAnsi="仿宋_GB2312" w:eastAsia="仿宋_GB2312" w:cs="仿宋_GB2312"/>
          <w:color w:val="000000"/>
          <w:sz w:val="32"/>
          <w:szCs w:val="32"/>
        </w:rPr>
      </w:pPr>
      <w:bookmarkStart w:id="169" w:name="_Toc10219"/>
      <w:bookmarkStart w:id="170" w:name="_Toc2982"/>
      <w:bookmarkStart w:id="171" w:name="_Toc13896"/>
      <w:r>
        <w:rPr>
          <w:rFonts w:hint="eastAsia" w:ascii="仿宋_GB2312" w:hAnsi="仿宋_GB2312" w:eastAsia="仿宋_GB2312" w:cs="仿宋_GB2312"/>
          <w:color w:val="000000"/>
          <w:sz w:val="32"/>
          <w:szCs w:val="32"/>
        </w:rPr>
        <w:t>3.3 投标有效期</w:t>
      </w:r>
      <w:bookmarkEnd w:id="169"/>
      <w:bookmarkEnd w:id="170"/>
      <w:bookmarkEnd w:id="171"/>
    </w:p>
    <w:p w14:paraId="46E88A5B">
      <w:pPr>
        <w:pStyle w:val="26"/>
        <w:widowControl/>
        <w:spacing w:before="0" w:line="592" w:lineRule="exact"/>
        <w:ind w:firstLine="640" w:firstLineChars="200"/>
        <w:rPr>
          <w:rFonts w:ascii="仿宋_GB2312" w:hAnsi="仿宋_GB2312" w:eastAsia="仿宋_GB2312" w:cs="仿宋_GB2312"/>
          <w:color w:val="000000"/>
          <w:sz w:val="32"/>
          <w:szCs w:val="32"/>
        </w:rPr>
      </w:pPr>
      <w:bookmarkStart w:id="172" w:name="_Toc14350"/>
      <w:bookmarkStart w:id="173" w:name="_Toc27002"/>
      <w:r>
        <w:rPr>
          <w:rFonts w:hint="eastAsia" w:ascii="仿宋_GB2312" w:hAnsi="仿宋_GB2312" w:eastAsia="仿宋_GB2312" w:cs="仿宋_GB2312"/>
          <w:color w:val="000000"/>
          <w:sz w:val="32"/>
          <w:szCs w:val="32"/>
        </w:rPr>
        <w:t>3.3.1 在投标人须知前附表规定的投标有效期内，投标人不得要求撤销或修改其投标文件。</w:t>
      </w:r>
      <w:bookmarkEnd w:id="172"/>
      <w:bookmarkEnd w:id="173"/>
    </w:p>
    <w:p w14:paraId="6210B2E7">
      <w:pPr>
        <w:pStyle w:val="26"/>
        <w:widowControl/>
        <w:spacing w:before="0" w:line="592" w:lineRule="exact"/>
        <w:ind w:firstLine="640" w:firstLineChars="200"/>
        <w:rPr>
          <w:rFonts w:ascii="仿宋_GB2312" w:hAnsi="仿宋_GB2312" w:eastAsia="仿宋_GB2312" w:cs="仿宋_GB2312"/>
          <w:color w:val="000000"/>
          <w:sz w:val="32"/>
          <w:szCs w:val="32"/>
        </w:rPr>
      </w:pPr>
      <w:bookmarkStart w:id="174" w:name="_Toc12579"/>
      <w:bookmarkStart w:id="175" w:name="_Toc17990"/>
      <w:r>
        <w:rPr>
          <w:rFonts w:hint="eastAsia" w:ascii="仿宋_GB2312" w:hAnsi="仿宋_GB2312" w:eastAsia="仿宋_GB2312" w:cs="仿宋_GB2312"/>
          <w:color w:val="000000"/>
          <w:sz w:val="32"/>
          <w:szCs w:val="32"/>
        </w:rPr>
        <w:t>3.3.2 出现特殊情况需要延长投标有效期的，招标人将电话通知所有投标人延长投标有效期。投标人同意延长的，应相应延长其投标保证金的有效期，但不得要求修改或撤销其投标文件；投标人拒绝延长的，其投标失效，但投标人有权收回其投标保证金。</w:t>
      </w:r>
      <w:bookmarkEnd w:id="174"/>
      <w:bookmarkEnd w:id="175"/>
    </w:p>
    <w:p w14:paraId="35AC2CB3">
      <w:pPr>
        <w:pStyle w:val="26"/>
        <w:widowControl/>
        <w:spacing w:before="0" w:line="592" w:lineRule="exact"/>
        <w:ind w:firstLine="640" w:firstLineChars="200"/>
        <w:rPr>
          <w:rFonts w:hint="eastAsia" w:ascii="仿宋_GB2312" w:hAnsi="仿宋_GB2312" w:eastAsia="仿宋_GB2312" w:cs="仿宋_GB2312"/>
          <w:color w:val="000000"/>
          <w:sz w:val="32"/>
          <w:szCs w:val="32"/>
          <w:lang w:eastAsia="zh-CN"/>
        </w:rPr>
      </w:pPr>
      <w:bookmarkStart w:id="176" w:name="_Toc2498"/>
      <w:bookmarkStart w:id="177" w:name="_Toc16660"/>
      <w:bookmarkStart w:id="178" w:name="_Toc22101"/>
      <w:r>
        <w:rPr>
          <w:rFonts w:hint="eastAsia" w:ascii="仿宋_GB2312" w:hAnsi="仿宋_GB2312" w:eastAsia="仿宋_GB2312" w:cs="仿宋_GB2312"/>
          <w:color w:val="000000"/>
          <w:sz w:val="32"/>
          <w:szCs w:val="32"/>
        </w:rPr>
        <w:t>3.4 投标保证金：</w:t>
      </w:r>
      <w:bookmarkEnd w:id="176"/>
      <w:bookmarkEnd w:id="177"/>
      <w:bookmarkEnd w:id="178"/>
      <w:r>
        <w:rPr>
          <w:rFonts w:hint="eastAsia" w:ascii="仿宋_GB2312" w:hAnsi="仿宋_GB2312" w:eastAsia="仿宋_GB2312" w:cs="仿宋_GB2312"/>
          <w:color w:val="000000"/>
          <w:sz w:val="32"/>
          <w:szCs w:val="32"/>
          <w:lang w:val="en-US" w:eastAsia="zh-CN"/>
        </w:rPr>
        <w:t>无</w:t>
      </w:r>
    </w:p>
    <w:p w14:paraId="293B8E45">
      <w:pPr>
        <w:pStyle w:val="26"/>
        <w:widowControl/>
        <w:spacing w:before="0" w:line="592" w:lineRule="exact"/>
        <w:ind w:firstLine="640" w:firstLineChars="200"/>
        <w:rPr>
          <w:rFonts w:ascii="仿宋_GB2312" w:hAnsi="仿宋_GB2312" w:eastAsia="仿宋_GB2312" w:cs="仿宋_GB2312"/>
          <w:color w:val="000000"/>
          <w:sz w:val="32"/>
          <w:szCs w:val="32"/>
        </w:rPr>
      </w:pPr>
      <w:bookmarkStart w:id="179" w:name="_Toc20140"/>
      <w:bookmarkStart w:id="180" w:name="_Toc9754"/>
      <w:bookmarkStart w:id="181" w:name="_Toc15257"/>
      <w:r>
        <w:rPr>
          <w:rFonts w:hint="eastAsia" w:ascii="仿宋_GB2312" w:hAnsi="仿宋_GB2312" w:eastAsia="仿宋_GB2312" w:cs="仿宋_GB2312"/>
          <w:color w:val="000000"/>
          <w:sz w:val="32"/>
          <w:szCs w:val="32"/>
        </w:rPr>
        <w:t>3.5 资格审查资料</w:t>
      </w:r>
      <w:bookmarkEnd w:id="179"/>
      <w:bookmarkEnd w:id="180"/>
      <w:bookmarkEnd w:id="181"/>
    </w:p>
    <w:p w14:paraId="6CCDAC3B">
      <w:pPr>
        <w:pStyle w:val="26"/>
        <w:widowControl/>
        <w:spacing w:before="0" w:line="592" w:lineRule="exact"/>
        <w:ind w:firstLine="640" w:firstLineChars="200"/>
        <w:rPr>
          <w:rFonts w:ascii="仿宋_GB2312" w:hAnsi="仿宋_GB2312" w:eastAsia="仿宋_GB2312" w:cs="仿宋_GB2312"/>
          <w:color w:val="000000"/>
          <w:sz w:val="32"/>
          <w:szCs w:val="32"/>
        </w:rPr>
      </w:pPr>
      <w:bookmarkStart w:id="182" w:name="_Toc22678"/>
      <w:bookmarkStart w:id="183" w:name="_Toc7461"/>
      <w:r>
        <w:rPr>
          <w:rFonts w:hint="eastAsia" w:ascii="仿宋_GB2312" w:hAnsi="仿宋_GB2312" w:eastAsia="仿宋_GB2312" w:cs="仿宋_GB2312"/>
          <w:color w:val="000000"/>
          <w:sz w:val="32"/>
          <w:szCs w:val="32"/>
        </w:rPr>
        <w:t>3.5.1 “投标人基本情况表”应附投标人营业执照副本、资质证书副本等材料的复印件。</w:t>
      </w:r>
      <w:bookmarkEnd w:id="182"/>
      <w:bookmarkEnd w:id="183"/>
    </w:p>
    <w:p w14:paraId="295531FF">
      <w:pPr>
        <w:pStyle w:val="26"/>
        <w:widowControl/>
        <w:spacing w:before="0" w:line="592" w:lineRule="exact"/>
        <w:ind w:firstLine="640" w:firstLineChars="200"/>
        <w:rPr>
          <w:rFonts w:ascii="仿宋_GB2312" w:hAnsi="仿宋_GB2312" w:eastAsia="仿宋_GB2312" w:cs="仿宋_GB2312"/>
          <w:color w:val="000000"/>
          <w:sz w:val="32"/>
          <w:szCs w:val="32"/>
        </w:rPr>
      </w:pPr>
      <w:bookmarkStart w:id="184" w:name="_Toc8698"/>
      <w:bookmarkStart w:id="185" w:name="_Toc3965"/>
      <w:r>
        <w:rPr>
          <w:rFonts w:hint="eastAsia" w:ascii="仿宋_GB2312" w:hAnsi="仿宋_GB2312" w:eastAsia="仿宋_GB2312" w:cs="仿宋_GB2312"/>
          <w:color w:val="000000"/>
          <w:sz w:val="32"/>
          <w:szCs w:val="32"/>
        </w:rPr>
        <w:t>3.5.2 “近年财务状况表”应附经合法的会计师事务所或审计机构审计的财务会计报表，包括资产负债表、现金流量表、利润表和财务情况说明书的复印件，具体年份要求详见投标人须知前附表。</w:t>
      </w:r>
      <w:bookmarkEnd w:id="184"/>
      <w:bookmarkEnd w:id="185"/>
    </w:p>
    <w:p w14:paraId="446BC01B">
      <w:pPr>
        <w:pStyle w:val="26"/>
        <w:widowControl/>
        <w:spacing w:before="0" w:line="592" w:lineRule="exact"/>
        <w:ind w:firstLine="640" w:firstLineChars="200"/>
        <w:rPr>
          <w:rFonts w:ascii="仿宋_GB2312" w:hAnsi="仿宋_GB2312" w:eastAsia="仿宋_GB2312" w:cs="仿宋_GB2312"/>
          <w:color w:val="000000"/>
          <w:sz w:val="32"/>
          <w:szCs w:val="32"/>
        </w:rPr>
      </w:pPr>
      <w:bookmarkStart w:id="186" w:name="_Toc4246"/>
      <w:bookmarkStart w:id="187" w:name="_Toc16112"/>
      <w:r>
        <w:rPr>
          <w:rFonts w:hint="eastAsia" w:ascii="仿宋_GB2312" w:hAnsi="仿宋_GB2312" w:eastAsia="仿宋_GB2312" w:cs="仿宋_GB2312"/>
          <w:color w:val="000000"/>
          <w:sz w:val="32"/>
          <w:szCs w:val="32"/>
        </w:rPr>
        <w:t>3.5.3投标人需要编制满足招标要求的资格审查文件，资格审查文件单独胶装一份，单独密封。</w:t>
      </w:r>
      <w:bookmarkEnd w:id="186"/>
      <w:bookmarkEnd w:id="187"/>
    </w:p>
    <w:p w14:paraId="74B595AF">
      <w:pPr>
        <w:pStyle w:val="26"/>
        <w:widowControl/>
        <w:spacing w:before="0" w:line="592" w:lineRule="exact"/>
        <w:ind w:firstLine="640" w:firstLineChars="200"/>
        <w:rPr>
          <w:rFonts w:ascii="仿宋_GB2312" w:hAnsi="仿宋_GB2312" w:eastAsia="仿宋_GB2312" w:cs="仿宋_GB2312"/>
          <w:color w:val="000000"/>
          <w:sz w:val="32"/>
          <w:szCs w:val="32"/>
        </w:rPr>
      </w:pPr>
      <w:bookmarkStart w:id="188" w:name="_Toc31444"/>
      <w:bookmarkStart w:id="189" w:name="_Toc9176"/>
      <w:bookmarkStart w:id="190" w:name="_Toc14517"/>
      <w:r>
        <w:rPr>
          <w:rFonts w:hint="eastAsia" w:ascii="仿宋_GB2312" w:hAnsi="仿宋_GB2312" w:eastAsia="仿宋_GB2312" w:cs="仿宋_GB2312"/>
          <w:color w:val="000000"/>
          <w:sz w:val="32"/>
          <w:szCs w:val="32"/>
        </w:rPr>
        <w:t>3.6 备选投标方案</w:t>
      </w:r>
      <w:bookmarkEnd w:id="188"/>
      <w:bookmarkEnd w:id="189"/>
      <w:bookmarkEnd w:id="190"/>
    </w:p>
    <w:p w14:paraId="753C5E85">
      <w:pPr>
        <w:pStyle w:val="26"/>
        <w:widowControl/>
        <w:spacing w:before="0" w:line="592" w:lineRule="exact"/>
        <w:ind w:firstLine="640" w:firstLineChars="200"/>
        <w:rPr>
          <w:rFonts w:ascii="仿宋_GB2312" w:hAnsi="仿宋_GB2312" w:eastAsia="仿宋_GB2312" w:cs="仿宋_GB2312"/>
          <w:color w:val="000000"/>
          <w:sz w:val="32"/>
          <w:szCs w:val="32"/>
        </w:rPr>
      </w:pPr>
      <w:bookmarkStart w:id="191" w:name="_Toc3937"/>
      <w:bookmarkStart w:id="192" w:name="_Toc20100"/>
      <w:r>
        <w:rPr>
          <w:rFonts w:hint="eastAsia" w:ascii="仿宋_GB2312" w:hAnsi="仿宋_GB2312" w:eastAsia="仿宋_GB2312" w:cs="仿宋_GB2312"/>
          <w:color w:val="000000"/>
          <w:sz w:val="32"/>
          <w:szCs w:val="32"/>
        </w:rPr>
        <w:t>投标人对本工程只能有一个投标方案，招标人不接受投标人的备选方案。</w:t>
      </w:r>
      <w:bookmarkEnd w:id="191"/>
      <w:bookmarkEnd w:id="192"/>
    </w:p>
    <w:p w14:paraId="28030F93">
      <w:pPr>
        <w:pStyle w:val="26"/>
        <w:widowControl/>
        <w:spacing w:before="0" w:line="592" w:lineRule="exact"/>
        <w:ind w:firstLine="640" w:firstLineChars="200"/>
        <w:rPr>
          <w:rFonts w:ascii="仿宋_GB2312" w:hAnsi="仿宋_GB2312" w:eastAsia="仿宋_GB2312" w:cs="仿宋_GB2312"/>
          <w:color w:val="000000"/>
          <w:sz w:val="32"/>
          <w:szCs w:val="32"/>
        </w:rPr>
      </w:pPr>
      <w:bookmarkStart w:id="193" w:name="_Toc23579"/>
      <w:bookmarkStart w:id="194" w:name="_Toc17469"/>
      <w:bookmarkStart w:id="195" w:name="_Toc1551"/>
      <w:r>
        <w:rPr>
          <w:rFonts w:hint="eastAsia" w:ascii="仿宋_GB2312" w:hAnsi="仿宋_GB2312" w:eastAsia="仿宋_GB2312" w:cs="仿宋_GB2312"/>
          <w:color w:val="000000"/>
          <w:sz w:val="32"/>
          <w:szCs w:val="32"/>
        </w:rPr>
        <w:t>3.7投标文件的编制</w:t>
      </w:r>
      <w:bookmarkEnd w:id="193"/>
      <w:bookmarkEnd w:id="194"/>
      <w:bookmarkEnd w:id="195"/>
    </w:p>
    <w:p w14:paraId="18794C9A">
      <w:pPr>
        <w:pStyle w:val="26"/>
        <w:widowControl/>
        <w:spacing w:before="0" w:line="592" w:lineRule="exact"/>
        <w:ind w:firstLine="640" w:firstLineChars="200"/>
        <w:rPr>
          <w:rFonts w:ascii="仿宋_GB2312" w:hAnsi="仿宋_GB2312" w:eastAsia="仿宋_GB2312" w:cs="仿宋_GB2312"/>
          <w:color w:val="000000"/>
          <w:sz w:val="32"/>
          <w:szCs w:val="32"/>
        </w:rPr>
      </w:pPr>
      <w:bookmarkStart w:id="196" w:name="_Toc11404"/>
      <w:bookmarkStart w:id="197" w:name="_Toc6583"/>
      <w:r>
        <w:rPr>
          <w:rFonts w:hint="eastAsia" w:ascii="仿宋_GB2312" w:hAnsi="仿宋_GB2312" w:eastAsia="仿宋_GB2312" w:cs="仿宋_GB2312"/>
          <w:color w:val="000000"/>
          <w:sz w:val="32"/>
          <w:szCs w:val="32"/>
        </w:rPr>
        <w:t>3.7.1投标文件应按第七章“投标文件格式”进行编写，如有必要，可以增加附页，作为投标文件的组成部分。其中，投标函附录在满足招标文件实质性要求的基础上，可以提出比招标文件要求更有利于招标人的承诺。</w:t>
      </w:r>
      <w:bookmarkEnd w:id="196"/>
      <w:bookmarkEnd w:id="197"/>
    </w:p>
    <w:p w14:paraId="007C6D64">
      <w:pPr>
        <w:pStyle w:val="26"/>
        <w:widowControl/>
        <w:spacing w:before="0" w:line="592" w:lineRule="exact"/>
        <w:ind w:firstLine="640" w:firstLineChars="200"/>
        <w:rPr>
          <w:rFonts w:ascii="仿宋_GB2312" w:hAnsi="仿宋_GB2312" w:eastAsia="仿宋_GB2312" w:cs="仿宋_GB2312"/>
          <w:color w:val="000000"/>
          <w:sz w:val="32"/>
          <w:szCs w:val="32"/>
        </w:rPr>
      </w:pPr>
      <w:bookmarkStart w:id="198" w:name="_Toc16428"/>
      <w:bookmarkStart w:id="199" w:name="_Toc939"/>
      <w:r>
        <w:rPr>
          <w:rFonts w:hint="eastAsia" w:ascii="仿宋_GB2312" w:hAnsi="仿宋_GB2312" w:eastAsia="仿宋_GB2312" w:cs="仿宋_GB2312"/>
          <w:color w:val="000000"/>
          <w:sz w:val="32"/>
          <w:szCs w:val="32"/>
        </w:rPr>
        <w:t>3.7.2 投标文件应当对招标文件有关工期、投标有效期、质量要求、技术标准和要求等实质性内容作出响应。</w:t>
      </w:r>
      <w:bookmarkEnd w:id="198"/>
      <w:bookmarkEnd w:id="199"/>
    </w:p>
    <w:p w14:paraId="407D46B5">
      <w:pPr>
        <w:pStyle w:val="26"/>
        <w:widowControl/>
        <w:spacing w:before="0" w:line="592" w:lineRule="exact"/>
        <w:ind w:firstLine="640" w:firstLineChars="200"/>
        <w:rPr>
          <w:rFonts w:ascii="仿宋_GB2312" w:hAnsi="仿宋_GB2312" w:eastAsia="仿宋_GB2312" w:cs="仿宋_GB2312"/>
          <w:color w:val="000000"/>
          <w:sz w:val="32"/>
          <w:szCs w:val="32"/>
        </w:rPr>
      </w:pPr>
      <w:bookmarkStart w:id="200" w:name="_Toc14239"/>
      <w:bookmarkStart w:id="201" w:name="_Toc8217"/>
      <w:r>
        <w:rPr>
          <w:rFonts w:hint="eastAsia" w:ascii="仿宋_GB2312" w:hAnsi="仿宋_GB2312" w:eastAsia="仿宋_GB2312" w:cs="仿宋_GB2312"/>
          <w:color w:val="000000"/>
          <w:sz w:val="32"/>
          <w:szCs w:val="32"/>
        </w:rPr>
        <w:t>3.7.3投标文件应用不褪色的材料书写或打印，并由的法定代表人或其委托代理人签字或盖单位章。委托代理人签字的，投标文件应附法定代表人签署的授权委托书。投标文件应尽量避免涂改、行间插字或删除。如果出现上述情况，改动之处应加盖单位章或由的法定代表人或其授权的代理人签字确认。签字或盖章的具体要求见须知前附表。</w:t>
      </w:r>
      <w:bookmarkEnd w:id="200"/>
      <w:bookmarkEnd w:id="201"/>
    </w:p>
    <w:p w14:paraId="210E5C22">
      <w:pPr>
        <w:pStyle w:val="26"/>
        <w:widowControl/>
        <w:spacing w:before="0" w:line="592" w:lineRule="exact"/>
        <w:ind w:firstLine="640" w:firstLineChars="200"/>
        <w:rPr>
          <w:rFonts w:ascii="仿宋_GB2312" w:hAnsi="仿宋_GB2312" w:eastAsia="仿宋_GB2312" w:cs="仿宋_GB2312"/>
          <w:color w:val="000000"/>
          <w:sz w:val="32"/>
          <w:szCs w:val="32"/>
        </w:rPr>
      </w:pPr>
      <w:bookmarkStart w:id="202" w:name="_Toc12185"/>
      <w:bookmarkStart w:id="203" w:name="_Toc14020"/>
      <w:r>
        <w:rPr>
          <w:rFonts w:hint="eastAsia" w:ascii="仿宋_GB2312" w:hAnsi="仿宋_GB2312" w:eastAsia="仿宋_GB2312" w:cs="仿宋_GB2312"/>
          <w:color w:val="000000"/>
          <w:sz w:val="32"/>
          <w:szCs w:val="32"/>
        </w:rPr>
        <w:t>3.7.4 投标文件正本一份, 副本二份，见须知前附表。正本和副本的封面上应清楚地标记“正本”或“副本”的字样。当副本和正本不一致时，以正本为准。</w:t>
      </w:r>
      <w:bookmarkEnd w:id="202"/>
      <w:bookmarkEnd w:id="203"/>
    </w:p>
    <w:p w14:paraId="3EF14324">
      <w:pPr>
        <w:pStyle w:val="26"/>
        <w:widowControl/>
        <w:spacing w:before="0" w:line="592" w:lineRule="exact"/>
        <w:ind w:firstLine="640" w:firstLineChars="200"/>
        <w:rPr>
          <w:rFonts w:ascii="仿宋_GB2312" w:hAnsi="仿宋_GB2312" w:eastAsia="仿宋_GB2312" w:cs="仿宋_GB2312"/>
          <w:color w:val="000000"/>
          <w:sz w:val="32"/>
          <w:szCs w:val="32"/>
        </w:rPr>
      </w:pPr>
      <w:bookmarkStart w:id="204" w:name="_Toc13358"/>
      <w:bookmarkStart w:id="205" w:name="_Toc22283"/>
      <w:r>
        <w:rPr>
          <w:rFonts w:hint="eastAsia" w:ascii="仿宋_GB2312" w:hAnsi="仿宋_GB2312" w:eastAsia="仿宋_GB2312" w:cs="仿宋_GB2312"/>
          <w:color w:val="000000"/>
          <w:sz w:val="32"/>
          <w:szCs w:val="32"/>
        </w:rPr>
        <w:t>3.7.5 投标文件的正本与副本应分别胶装成册，不得采用活页装订。</w:t>
      </w:r>
      <w:bookmarkEnd w:id="204"/>
      <w:bookmarkEnd w:id="205"/>
    </w:p>
    <w:p w14:paraId="48A99E29">
      <w:pPr>
        <w:pStyle w:val="26"/>
        <w:widowControl/>
        <w:spacing w:before="0" w:line="592" w:lineRule="exact"/>
        <w:ind w:firstLine="640" w:firstLineChars="200"/>
        <w:rPr>
          <w:rFonts w:ascii="仿宋_GB2312" w:hAnsi="仿宋_GB2312" w:eastAsia="仿宋_GB2312" w:cs="仿宋_GB2312"/>
          <w:color w:val="000000"/>
          <w:sz w:val="32"/>
          <w:szCs w:val="32"/>
        </w:rPr>
      </w:pPr>
      <w:bookmarkStart w:id="206" w:name="_Toc10470"/>
      <w:bookmarkStart w:id="207" w:name="_Toc29315"/>
      <w:bookmarkStart w:id="208" w:name="_Toc28661"/>
      <w:r>
        <w:rPr>
          <w:rFonts w:hint="eastAsia" w:ascii="仿宋_GB2312" w:hAnsi="仿宋_GB2312" w:eastAsia="仿宋_GB2312" w:cs="仿宋_GB2312"/>
          <w:color w:val="000000"/>
          <w:sz w:val="32"/>
          <w:szCs w:val="32"/>
        </w:rPr>
        <w:t>4. 投标</w:t>
      </w:r>
      <w:bookmarkEnd w:id="206"/>
      <w:bookmarkEnd w:id="207"/>
      <w:bookmarkEnd w:id="208"/>
    </w:p>
    <w:p w14:paraId="2E255BD2">
      <w:pPr>
        <w:pStyle w:val="26"/>
        <w:widowControl/>
        <w:spacing w:before="0" w:line="592" w:lineRule="exact"/>
        <w:ind w:firstLine="640" w:firstLineChars="200"/>
        <w:rPr>
          <w:rFonts w:ascii="仿宋_GB2312" w:hAnsi="仿宋_GB2312" w:eastAsia="仿宋_GB2312" w:cs="仿宋_GB2312"/>
          <w:color w:val="000000"/>
          <w:sz w:val="32"/>
          <w:szCs w:val="32"/>
        </w:rPr>
      </w:pPr>
      <w:bookmarkStart w:id="209" w:name="_Toc22553"/>
      <w:bookmarkStart w:id="210" w:name="_Toc27364"/>
      <w:bookmarkStart w:id="211" w:name="_Toc12362"/>
      <w:r>
        <w:rPr>
          <w:rFonts w:hint="eastAsia" w:ascii="仿宋_GB2312" w:hAnsi="仿宋_GB2312" w:eastAsia="仿宋_GB2312" w:cs="仿宋_GB2312"/>
          <w:color w:val="000000"/>
          <w:sz w:val="32"/>
          <w:szCs w:val="32"/>
        </w:rPr>
        <w:t>4.1 投标文件的密封和标记</w:t>
      </w:r>
      <w:bookmarkEnd w:id="209"/>
      <w:bookmarkEnd w:id="210"/>
      <w:bookmarkEnd w:id="211"/>
    </w:p>
    <w:p w14:paraId="6A40415B">
      <w:pPr>
        <w:pStyle w:val="26"/>
        <w:widowControl/>
        <w:spacing w:before="0" w:line="592" w:lineRule="exact"/>
        <w:ind w:firstLine="640" w:firstLineChars="200"/>
        <w:rPr>
          <w:rFonts w:ascii="仿宋_GB2312" w:hAnsi="仿宋_GB2312" w:eastAsia="仿宋_GB2312" w:cs="仿宋_GB2312"/>
          <w:color w:val="000000"/>
          <w:sz w:val="32"/>
          <w:szCs w:val="32"/>
        </w:rPr>
      </w:pPr>
      <w:bookmarkStart w:id="212" w:name="_Toc25255"/>
      <w:bookmarkStart w:id="213" w:name="_Toc8783"/>
      <w:r>
        <w:rPr>
          <w:rFonts w:hint="eastAsia" w:ascii="仿宋_GB2312" w:hAnsi="仿宋_GB2312" w:eastAsia="仿宋_GB2312" w:cs="仿宋_GB2312"/>
          <w:color w:val="000000"/>
          <w:sz w:val="32"/>
          <w:szCs w:val="32"/>
        </w:rPr>
        <w:t>4.1.1 投标文件应进行包装、加贴封条，并在封套的封口处加盖单位章。</w:t>
      </w:r>
      <w:bookmarkEnd w:id="212"/>
      <w:bookmarkEnd w:id="213"/>
    </w:p>
    <w:p w14:paraId="3E18377F">
      <w:pPr>
        <w:pStyle w:val="26"/>
        <w:widowControl/>
        <w:spacing w:before="0" w:line="592" w:lineRule="exact"/>
        <w:ind w:firstLine="640" w:firstLineChars="200"/>
        <w:rPr>
          <w:rFonts w:ascii="仿宋_GB2312" w:hAnsi="仿宋_GB2312" w:eastAsia="仿宋_GB2312" w:cs="仿宋_GB2312"/>
          <w:color w:val="000000"/>
          <w:sz w:val="32"/>
          <w:szCs w:val="32"/>
        </w:rPr>
      </w:pPr>
      <w:bookmarkStart w:id="214" w:name="_Toc18018"/>
      <w:bookmarkStart w:id="215" w:name="_Toc22421"/>
      <w:r>
        <w:rPr>
          <w:rFonts w:hint="eastAsia" w:ascii="仿宋_GB2312" w:hAnsi="仿宋_GB2312" w:eastAsia="仿宋_GB2312" w:cs="仿宋_GB2312"/>
          <w:color w:val="000000"/>
          <w:sz w:val="32"/>
          <w:szCs w:val="32"/>
        </w:rPr>
        <w:t>4.1.2 投标文件封套上应写明的内容见须知前附表。</w:t>
      </w:r>
      <w:bookmarkEnd w:id="214"/>
      <w:bookmarkEnd w:id="215"/>
    </w:p>
    <w:p w14:paraId="4215CB25">
      <w:pPr>
        <w:pStyle w:val="26"/>
        <w:widowControl/>
        <w:spacing w:before="0" w:line="592" w:lineRule="exact"/>
        <w:ind w:firstLine="640" w:firstLineChars="200"/>
        <w:rPr>
          <w:rFonts w:ascii="仿宋_GB2312" w:hAnsi="仿宋_GB2312" w:eastAsia="仿宋_GB2312" w:cs="仿宋_GB2312"/>
          <w:color w:val="000000"/>
          <w:sz w:val="32"/>
          <w:szCs w:val="32"/>
        </w:rPr>
      </w:pPr>
      <w:bookmarkStart w:id="216" w:name="_Toc28015"/>
      <w:bookmarkStart w:id="217" w:name="_Toc11677"/>
      <w:r>
        <w:rPr>
          <w:rFonts w:hint="eastAsia" w:ascii="仿宋_GB2312" w:hAnsi="仿宋_GB2312" w:eastAsia="仿宋_GB2312" w:cs="仿宋_GB2312"/>
          <w:color w:val="000000"/>
          <w:sz w:val="32"/>
          <w:szCs w:val="32"/>
        </w:rPr>
        <w:t>4.1.3 投标文件电子版、开标一览表应分别单独密封。</w:t>
      </w:r>
      <w:bookmarkEnd w:id="216"/>
      <w:bookmarkEnd w:id="217"/>
    </w:p>
    <w:p w14:paraId="591F1345">
      <w:pPr>
        <w:pStyle w:val="26"/>
        <w:widowControl/>
        <w:spacing w:before="0" w:line="592" w:lineRule="exact"/>
        <w:ind w:firstLine="640" w:firstLineChars="200"/>
        <w:rPr>
          <w:rFonts w:ascii="仿宋_GB2312" w:hAnsi="仿宋_GB2312" w:eastAsia="仿宋_GB2312" w:cs="仿宋_GB2312"/>
          <w:color w:val="000000"/>
          <w:sz w:val="32"/>
          <w:szCs w:val="32"/>
        </w:rPr>
      </w:pPr>
      <w:bookmarkStart w:id="218" w:name="_Toc28839"/>
      <w:bookmarkStart w:id="219" w:name="_Toc31103"/>
      <w:r>
        <w:rPr>
          <w:rFonts w:hint="eastAsia" w:ascii="仿宋_GB2312" w:hAnsi="仿宋_GB2312" w:eastAsia="仿宋_GB2312" w:cs="仿宋_GB2312"/>
          <w:color w:val="000000"/>
          <w:sz w:val="32"/>
          <w:szCs w:val="32"/>
        </w:rPr>
        <w:t>4.1.4 未按本章第4.1.1项、第4.1.2项、第4.1.3项要求密封和加写标记的投标文件，招标人应予拒收。如密封正确，应由五个密封袋组成，即《资格审查文件》、《投标函及开标一览表》、《投标文件》（正本、副本）、《电子版》</w:t>
      </w:r>
      <w:bookmarkEnd w:id="218"/>
      <w:bookmarkEnd w:id="219"/>
    </w:p>
    <w:p w14:paraId="18332D30">
      <w:pPr>
        <w:pStyle w:val="26"/>
        <w:widowControl/>
        <w:spacing w:before="0" w:line="592" w:lineRule="exact"/>
        <w:ind w:firstLine="640" w:firstLineChars="200"/>
        <w:rPr>
          <w:rFonts w:ascii="仿宋_GB2312" w:hAnsi="仿宋_GB2312" w:eastAsia="仿宋_GB2312" w:cs="仿宋_GB2312"/>
          <w:color w:val="000000"/>
          <w:sz w:val="32"/>
          <w:szCs w:val="32"/>
        </w:rPr>
      </w:pPr>
      <w:bookmarkStart w:id="220" w:name="_Toc10710"/>
      <w:bookmarkStart w:id="221" w:name="_Toc6937"/>
      <w:bookmarkStart w:id="222" w:name="_Toc9234"/>
      <w:r>
        <w:rPr>
          <w:rFonts w:hint="eastAsia" w:ascii="仿宋_GB2312" w:hAnsi="仿宋_GB2312" w:eastAsia="仿宋_GB2312" w:cs="仿宋_GB2312"/>
          <w:color w:val="000000"/>
          <w:sz w:val="32"/>
          <w:szCs w:val="32"/>
        </w:rPr>
        <w:t>4.2 投标文件的递交</w:t>
      </w:r>
      <w:bookmarkEnd w:id="220"/>
      <w:bookmarkEnd w:id="221"/>
      <w:bookmarkEnd w:id="222"/>
    </w:p>
    <w:p w14:paraId="7E594C39">
      <w:pPr>
        <w:pStyle w:val="26"/>
        <w:widowControl/>
        <w:spacing w:before="0" w:line="592" w:lineRule="exact"/>
        <w:ind w:firstLine="640" w:firstLineChars="200"/>
        <w:rPr>
          <w:rFonts w:ascii="仿宋_GB2312" w:hAnsi="仿宋_GB2312" w:eastAsia="仿宋_GB2312" w:cs="仿宋_GB2312"/>
          <w:color w:val="000000"/>
          <w:sz w:val="32"/>
          <w:szCs w:val="32"/>
        </w:rPr>
      </w:pPr>
      <w:bookmarkStart w:id="223" w:name="_Toc28774"/>
      <w:bookmarkStart w:id="224" w:name="_Toc21163"/>
      <w:r>
        <w:rPr>
          <w:rFonts w:hint="eastAsia" w:ascii="仿宋_GB2312" w:hAnsi="仿宋_GB2312" w:eastAsia="仿宋_GB2312" w:cs="仿宋_GB2312"/>
          <w:color w:val="000000"/>
          <w:sz w:val="32"/>
          <w:szCs w:val="32"/>
        </w:rPr>
        <w:t>4.2.1投标人应在规定的投标截止时间前将投标文件电子版上传至网上招标系统，同时递交纸质投标文件并自带电子版U盘投标文件。</w:t>
      </w:r>
      <w:bookmarkEnd w:id="223"/>
      <w:bookmarkEnd w:id="224"/>
    </w:p>
    <w:p w14:paraId="42CE12FB">
      <w:pPr>
        <w:pStyle w:val="26"/>
        <w:widowControl/>
        <w:spacing w:before="0" w:line="592" w:lineRule="exact"/>
        <w:ind w:firstLine="640" w:firstLineChars="200"/>
        <w:rPr>
          <w:rFonts w:ascii="仿宋_GB2312" w:hAnsi="仿宋_GB2312" w:eastAsia="仿宋_GB2312" w:cs="仿宋_GB2312"/>
          <w:color w:val="000000"/>
          <w:sz w:val="32"/>
          <w:szCs w:val="32"/>
        </w:rPr>
      </w:pPr>
      <w:bookmarkStart w:id="225" w:name="_Toc17486"/>
      <w:bookmarkStart w:id="226" w:name="_Toc800"/>
      <w:r>
        <w:rPr>
          <w:rFonts w:hint="eastAsia" w:ascii="仿宋_GB2312" w:hAnsi="仿宋_GB2312" w:eastAsia="仿宋_GB2312" w:cs="仿宋_GB2312"/>
          <w:color w:val="000000"/>
          <w:sz w:val="32"/>
          <w:szCs w:val="32"/>
        </w:rPr>
        <w:t>4.2.2 投标人递交纸质投标文件的地点：见投标人须知前附表。</w:t>
      </w:r>
      <w:bookmarkEnd w:id="225"/>
      <w:bookmarkEnd w:id="226"/>
    </w:p>
    <w:p w14:paraId="76BAECCA">
      <w:pPr>
        <w:pStyle w:val="26"/>
        <w:widowControl/>
        <w:spacing w:before="0" w:line="592" w:lineRule="exact"/>
        <w:ind w:firstLine="640" w:firstLineChars="200"/>
        <w:rPr>
          <w:rFonts w:ascii="仿宋_GB2312" w:hAnsi="仿宋_GB2312" w:eastAsia="仿宋_GB2312" w:cs="仿宋_GB2312"/>
          <w:color w:val="000000"/>
          <w:sz w:val="32"/>
          <w:szCs w:val="32"/>
        </w:rPr>
      </w:pPr>
      <w:bookmarkStart w:id="227" w:name="_Toc8582"/>
      <w:bookmarkStart w:id="228" w:name="_Toc7668"/>
      <w:r>
        <w:rPr>
          <w:rFonts w:hint="eastAsia" w:ascii="仿宋_GB2312" w:hAnsi="仿宋_GB2312" w:eastAsia="仿宋_GB2312" w:cs="仿宋_GB2312"/>
          <w:color w:val="000000"/>
          <w:sz w:val="32"/>
          <w:szCs w:val="32"/>
        </w:rPr>
        <w:t>4.2.3 除投标人须知前附表另有规定外，投标人所递交的纸质和电子版投标文件不予退还。</w:t>
      </w:r>
      <w:bookmarkEnd w:id="227"/>
      <w:bookmarkEnd w:id="228"/>
    </w:p>
    <w:p w14:paraId="7C1AF7C4">
      <w:pPr>
        <w:pStyle w:val="26"/>
        <w:widowControl/>
        <w:spacing w:before="0" w:line="592" w:lineRule="exact"/>
        <w:ind w:firstLine="640" w:firstLineChars="200"/>
        <w:rPr>
          <w:rFonts w:ascii="仿宋_GB2312" w:hAnsi="仿宋_GB2312" w:eastAsia="仿宋_GB2312" w:cs="仿宋_GB2312"/>
          <w:color w:val="000000"/>
          <w:sz w:val="32"/>
          <w:szCs w:val="32"/>
        </w:rPr>
      </w:pPr>
      <w:bookmarkStart w:id="229" w:name="_Toc27778"/>
      <w:bookmarkStart w:id="230" w:name="_Toc18821"/>
      <w:r>
        <w:rPr>
          <w:rFonts w:hint="eastAsia" w:ascii="仿宋_GB2312" w:hAnsi="仿宋_GB2312" w:eastAsia="仿宋_GB2312" w:cs="仿宋_GB2312"/>
          <w:color w:val="000000"/>
          <w:sz w:val="32"/>
          <w:szCs w:val="32"/>
        </w:rPr>
        <w:t>4.2.4 逾期送达的或者未送达指定地点的纸质投标文件或逾期自带的电子版投标文件，招标人不予受理。</w:t>
      </w:r>
      <w:bookmarkEnd w:id="229"/>
      <w:bookmarkEnd w:id="230"/>
    </w:p>
    <w:p w14:paraId="31A01A1B">
      <w:pPr>
        <w:pStyle w:val="26"/>
        <w:widowControl/>
        <w:spacing w:before="0" w:line="592" w:lineRule="exact"/>
        <w:ind w:firstLine="640" w:firstLineChars="200"/>
        <w:rPr>
          <w:rFonts w:ascii="仿宋_GB2312" w:hAnsi="仿宋_GB2312" w:eastAsia="仿宋_GB2312" w:cs="仿宋_GB2312"/>
          <w:color w:val="000000"/>
          <w:sz w:val="32"/>
          <w:szCs w:val="32"/>
        </w:rPr>
      </w:pPr>
      <w:bookmarkStart w:id="231" w:name="_Toc22786"/>
      <w:bookmarkStart w:id="232" w:name="_Toc29478"/>
      <w:bookmarkStart w:id="233" w:name="_Toc30919"/>
      <w:r>
        <w:rPr>
          <w:rFonts w:hint="eastAsia" w:ascii="仿宋_GB2312" w:hAnsi="仿宋_GB2312" w:eastAsia="仿宋_GB2312" w:cs="仿宋_GB2312"/>
          <w:color w:val="000000"/>
          <w:sz w:val="32"/>
          <w:szCs w:val="32"/>
        </w:rPr>
        <w:t>4.3 投标文件的修改与撤回</w:t>
      </w:r>
      <w:bookmarkEnd w:id="231"/>
      <w:bookmarkEnd w:id="232"/>
      <w:bookmarkEnd w:id="233"/>
    </w:p>
    <w:p w14:paraId="66165A0B">
      <w:pPr>
        <w:pStyle w:val="26"/>
        <w:widowControl/>
        <w:spacing w:before="0" w:line="592" w:lineRule="exact"/>
        <w:ind w:firstLine="640" w:firstLineChars="200"/>
        <w:rPr>
          <w:rFonts w:ascii="仿宋_GB2312" w:hAnsi="仿宋_GB2312" w:eastAsia="仿宋_GB2312" w:cs="仿宋_GB2312"/>
          <w:color w:val="000000"/>
          <w:sz w:val="32"/>
          <w:szCs w:val="32"/>
        </w:rPr>
      </w:pPr>
      <w:bookmarkStart w:id="234" w:name="_Toc3287"/>
      <w:bookmarkStart w:id="235" w:name="_Toc20444"/>
      <w:r>
        <w:rPr>
          <w:rFonts w:hint="eastAsia" w:ascii="仿宋_GB2312" w:hAnsi="仿宋_GB2312" w:eastAsia="仿宋_GB2312" w:cs="仿宋_GB2312"/>
          <w:color w:val="000000"/>
          <w:sz w:val="32"/>
          <w:szCs w:val="32"/>
        </w:rPr>
        <w:t>4.3.1 在本章第2.2.2 项规定的投标截止时间前，投标人可以修改或撤回已递交的投标文件，但应以书面形式通知招标人。</w:t>
      </w:r>
      <w:bookmarkEnd w:id="234"/>
      <w:bookmarkEnd w:id="235"/>
    </w:p>
    <w:p w14:paraId="028948D8">
      <w:pPr>
        <w:pStyle w:val="26"/>
        <w:widowControl/>
        <w:spacing w:before="0" w:line="592" w:lineRule="exact"/>
        <w:ind w:firstLine="640" w:firstLineChars="200"/>
        <w:rPr>
          <w:rFonts w:ascii="仿宋_GB2312" w:hAnsi="仿宋_GB2312" w:eastAsia="仿宋_GB2312" w:cs="仿宋_GB2312"/>
          <w:color w:val="000000"/>
          <w:sz w:val="32"/>
          <w:szCs w:val="32"/>
        </w:rPr>
      </w:pPr>
      <w:bookmarkStart w:id="236" w:name="_Toc12700"/>
      <w:bookmarkStart w:id="237" w:name="_Toc1018"/>
      <w:r>
        <w:rPr>
          <w:rFonts w:hint="eastAsia" w:ascii="仿宋_GB2312" w:hAnsi="仿宋_GB2312" w:eastAsia="仿宋_GB2312" w:cs="仿宋_GB2312"/>
          <w:color w:val="000000"/>
          <w:sz w:val="32"/>
          <w:szCs w:val="32"/>
        </w:rPr>
        <w:t>4.3.2 投标人修改或撤回已递交投标文件的书面通知应按照本章第3.7.3 项的要求签字或盖章。招标人收到书面通知后，向投标人出具签收凭证。</w:t>
      </w:r>
      <w:bookmarkEnd w:id="236"/>
      <w:bookmarkEnd w:id="237"/>
    </w:p>
    <w:p w14:paraId="67BC28B5">
      <w:pPr>
        <w:pStyle w:val="26"/>
        <w:widowControl/>
        <w:spacing w:before="0" w:line="592" w:lineRule="exact"/>
        <w:ind w:firstLine="640" w:firstLineChars="200"/>
        <w:rPr>
          <w:rFonts w:ascii="仿宋_GB2312" w:hAnsi="仿宋_GB2312" w:eastAsia="仿宋_GB2312" w:cs="仿宋_GB2312"/>
          <w:color w:val="000000"/>
          <w:sz w:val="32"/>
          <w:szCs w:val="32"/>
        </w:rPr>
      </w:pPr>
      <w:bookmarkStart w:id="238" w:name="_Toc10950"/>
      <w:bookmarkStart w:id="239" w:name="_Toc22178"/>
      <w:r>
        <w:rPr>
          <w:rFonts w:hint="eastAsia" w:ascii="仿宋_GB2312" w:hAnsi="仿宋_GB2312" w:eastAsia="仿宋_GB2312" w:cs="仿宋_GB2312"/>
          <w:color w:val="000000"/>
          <w:sz w:val="32"/>
          <w:szCs w:val="32"/>
        </w:rPr>
        <w:t>4.3.3 修改的内容为投标文件的组成部分。修改的投标文件应按照本章第3 条、第4 条规定进行编制、密封、标记和递交，并标明“修改”字样。</w:t>
      </w:r>
      <w:bookmarkEnd w:id="238"/>
      <w:bookmarkEnd w:id="239"/>
    </w:p>
    <w:p w14:paraId="3872A855">
      <w:pPr>
        <w:pStyle w:val="26"/>
        <w:widowControl/>
        <w:spacing w:before="0" w:line="592" w:lineRule="exact"/>
        <w:ind w:firstLine="640" w:firstLineChars="200"/>
        <w:rPr>
          <w:rFonts w:ascii="仿宋_GB2312" w:hAnsi="仿宋_GB2312" w:eastAsia="仿宋_GB2312" w:cs="仿宋_GB2312"/>
          <w:color w:val="000000"/>
          <w:sz w:val="32"/>
          <w:szCs w:val="32"/>
        </w:rPr>
      </w:pPr>
      <w:bookmarkStart w:id="240" w:name="_Toc24313"/>
      <w:bookmarkStart w:id="241" w:name="_Toc13040"/>
      <w:bookmarkStart w:id="242" w:name="_Toc24373"/>
      <w:r>
        <w:rPr>
          <w:rFonts w:hint="eastAsia" w:ascii="仿宋_GB2312" w:hAnsi="仿宋_GB2312" w:eastAsia="仿宋_GB2312" w:cs="仿宋_GB2312"/>
          <w:color w:val="000000"/>
          <w:sz w:val="32"/>
          <w:szCs w:val="32"/>
        </w:rPr>
        <w:t>5. 开标</w:t>
      </w:r>
      <w:bookmarkEnd w:id="240"/>
      <w:bookmarkEnd w:id="241"/>
      <w:bookmarkEnd w:id="242"/>
    </w:p>
    <w:p w14:paraId="21B0AA09">
      <w:pPr>
        <w:pStyle w:val="26"/>
        <w:widowControl/>
        <w:spacing w:before="0" w:line="592" w:lineRule="exact"/>
        <w:ind w:firstLine="640" w:firstLineChars="200"/>
        <w:rPr>
          <w:rFonts w:ascii="仿宋_GB2312" w:hAnsi="仿宋_GB2312" w:eastAsia="仿宋_GB2312" w:cs="仿宋_GB2312"/>
          <w:color w:val="000000"/>
          <w:sz w:val="32"/>
          <w:szCs w:val="32"/>
        </w:rPr>
      </w:pPr>
      <w:bookmarkStart w:id="243" w:name="_Toc20656"/>
      <w:bookmarkStart w:id="244" w:name="_Toc7970"/>
      <w:bookmarkStart w:id="245" w:name="_Toc32083"/>
      <w:r>
        <w:rPr>
          <w:rFonts w:hint="eastAsia" w:ascii="仿宋_GB2312" w:hAnsi="仿宋_GB2312" w:eastAsia="仿宋_GB2312" w:cs="仿宋_GB2312"/>
          <w:color w:val="000000"/>
          <w:sz w:val="32"/>
          <w:szCs w:val="32"/>
        </w:rPr>
        <w:t>5.1 开标时间和地点</w:t>
      </w:r>
      <w:bookmarkEnd w:id="243"/>
      <w:bookmarkEnd w:id="244"/>
      <w:bookmarkEnd w:id="245"/>
    </w:p>
    <w:p w14:paraId="1177D6FE">
      <w:pPr>
        <w:pStyle w:val="26"/>
        <w:widowControl/>
        <w:spacing w:before="0" w:line="592" w:lineRule="exact"/>
        <w:ind w:firstLine="640" w:firstLineChars="200"/>
        <w:rPr>
          <w:rFonts w:ascii="仿宋_GB2312" w:hAnsi="仿宋_GB2312" w:eastAsia="仿宋_GB2312" w:cs="仿宋_GB2312"/>
          <w:color w:val="000000"/>
          <w:sz w:val="32"/>
          <w:szCs w:val="32"/>
        </w:rPr>
      </w:pPr>
      <w:bookmarkStart w:id="246" w:name="_Toc26788"/>
      <w:bookmarkStart w:id="247" w:name="_Toc31735"/>
      <w:bookmarkStart w:id="248" w:name="_Toc157"/>
      <w:r>
        <w:rPr>
          <w:rFonts w:hint="eastAsia" w:ascii="仿宋_GB2312" w:hAnsi="仿宋_GB2312" w:eastAsia="仿宋_GB2312" w:cs="仿宋_GB2312"/>
          <w:color w:val="000000"/>
          <w:sz w:val="32"/>
          <w:szCs w:val="32"/>
        </w:rPr>
        <w:t>招标人在投标人须知前附表规定的投标截止时间（开标时间）和地点公开开标。所有投标人的法定代表人（或其委托代理人）和拟选派项目负责人无需到达开标现场，本次开标采用网上开标方式。</w:t>
      </w:r>
      <w:bookmarkEnd w:id="246"/>
      <w:bookmarkEnd w:id="247"/>
      <w:bookmarkEnd w:id="248"/>
    </w:p>
    <w:p w14:paraId="3D7F78D5">
      <w:pPr>
        <w:pStyle w:val="26"/>
        <w:widowControl/>
        <w:spacing w:before="0" w:line="592" w:lineRule="exact"/>
        <w:ind w:firstLine="640" w:firstLineChars="200"/>
        <w:rPr>
          <w:rFonts w:ascii="仿宋_GB2312" w:hAnsi="仿宋_GB2312" w:eastAsia="仿宋_GB2312" w:cs="仿宋_GB2312"/>
          <w:color w:val="000000"/>
          <w:sz w:val="32"/>
          <w:szCs w:val="32"/>
        </w:rPr>
      </w:pPr>
      <w:bookmarkStart w:id="249" w:name="_Toc13202"/>
      <w:bookmarkStart w:id="250" w:name="_Toc12720"/>
      <w:bookmarkStart w:id="251" w:name="_Toc3474"/>
      <w:r>
        <w:rPr>
          <w:rFonts w:hint="eastAsia" w:ascii="仿宋_GB2312" w:hAnsi="仿宋_GB2312" w:eastAsia="仿宋_GB2312" w:cs="仿宋_GB2312"/>
          <w:color w:val="000000"/>
          <w:sz w:val="32"/>
          <w:szCs w:val="32"/>
        </w:rPr>
        <w:t>5.2 开标程序</w:t>
      </w:r>
      <w:bookmarkEnd w:id="249"/>
      <w:bookmarkEnd w:id="250"/>
      <w:bookmarkEnd w:id="251"/>
    </w:p>
    <w:p w14:paraId="5E4B63CF">
      <w:pPr>
        <w:pStyle w:val="26"/>
        <w:widowControl/>
        <w:spacing w:before="0" w:line="592" w:lineRule="exact"/>
        <w:ind w:firstLine="640" w:firstLineChars="200"/>
        <w:rPr>
          <w:rFonts w:ascii="仿宋_GB2312" w:hAnsi="仿宋_GB2312" w:eastAsia="仿宋_GB2312" w:cs="仿宋_GB2312"/>
          <w:color w:val="000000"/>
          <w:sz w:val="32"/>
          <w:szCs w:val="32"/>
        </w:rPr>
      </w:pPr>
      <w:bookmarkStart w:id="252" w:name="_Toc19299"/>
      <w:bookmarkStart w:id="253" w:name="_Toc21237"/>
      <w:r>
        <w:rPr>
          <w:rFonts w:hint="eastAsia" w:ascii="仿宋_GB2312" w:hAnsi="仿宋_GB2312" w:eastAsia="仿宋_GB2312" w:cs="仿宋_GB2312"/>
          <w:color w:val="000000"/>
          <w:sz w:val="32"/>
          <w:szCs w:val="32"/>
        </w:rPr>
        <w:t>主持人按下列程序进行开标：</w:t>
      </w:r>
      <w:bookmarkEnd w:id="252"/>
      <w:bookmarkEnd w:id="253"/>
    </w:p>
    <w:p w14:paraId="0D40F3A3">
      <w:pPr>
        <w:pStyle w:val="26"/>
        <w:widowControl/>
        <w:spacing w:before="0" w:line="592" w:lineRule="exact"/>
        <w:ind w:firstLine="640" w:firstLineChars="200"/>
        <w:rPr>
          <w:rFonts w:ascii="仿宋_GB2312" w:hAnsi="仿宋_GB2312" w:eastAsia="仿宋_GB2312" w:cs="仿宋_GB2312"/>
          <w:color w:val="000000"/>
          <w:sz w:val="32"/>
          <w:szCs w:val="32"/>
        </w:rPr>
      </w:pPr>
      <w:bookmarkStart w:id="254" w:name="_Toc31932"/>
      <w:bookmarkStart w:id="255" w:name="_Toc31865"/>
      <w:r>
        <w:rPr>
          <w:rFonts w:hint="eastAsia" w:ascii="仿宋_GB2312" w:hAnsi="仿宋_GB2312" w:eastAsia="仿宋_GB2312" w:cs="仿宋_GB2312"/>
          <w:color w:val="000000"/>
          <w:sz w:val="32"/>
          <w:szCs w:val="32"/>
        </w:rPr>
        <w:t>（1）宣布开标纪律。</w:t>
      </w:r>
      <w:bookmarkEnd w:id="254"/>
      <w:bookmarkEnd w:id="255"/>
    </w:p>
    <w:p w14:paraId="0FCF7C39">
      <w:pPr>
        <w:pStyle w:val="26"/>
        <w:widowControl/>
        <w:spacing w:before="0" w:line="592" w:lineRule="exact"/>
        <w:ind w:firstLine="640" w:firstLineChars="200"/>
        <w:rPr>
          <w:rFonts w:ascii="仿宋_GB2312" w:hAnsi="仿宋_GB2312" w:eastAsia="仿宋_GB2312" w:cs="仿宋_GB2312"/>
          <w:color w:val="000000"/>
          <w:sz w:val="32"/>
          <w:szCs w:val="32"/>
        </w:rPr>
      </w:pPr>
      <w:bookmarkStart w:id="256" w:name="_Toc8779"/>
      <w:bookmarkStart w:id="257" w:name="_Toc5509"/>
      <w:r>
        <w:rPr>
          <w:rFonts w:hint="eastAsia" w:ascii="仿宋_GB2312" w:hAnsi="仿宋_GB2312" w:eastAsia="仿宋_GB2312" w:cs="仿宋_GB2312"/>
          <w:color w:val="000000"/>
          <w:sz w:val="32"/>
          <w:szCs w:val="32"/>
        </w:rPr>
        <w:t>（2）宣布投标单位和保证金交纳信息。</w:t>
      </w:r>
      <w:bookmarkEnd w:id="256"/>
      <w:bookmarkEnd w:id="257"/>
    </w:p>
    <w:p w14:paraId="25DD5F8A">
      <w:pPr>
        <w:pStyle w:val="26"/>
        <w:widowControl/>
        <w:spacing w:before="0" w:line="592" w:lineRule="exact"/>
        <w:ind w:firstLine="640" w:firstLineChars="200"/>
        <w:rPr>
          <w:rFonts w:ascii="仿宋_GB2312" w:hAnsi="仿宋_GB2312" w:eastAsia="仿宋_GB2312" w:cs="仿宋_GB2312"/>
          <w:color w:val="000000"/>
          <w:sz w:val="32"/>
          <w:szCs w:val="32"/>
        </w:rPr>
      </w:pPr>
      <w:bookmarkStart w:id="258" w:name="_Toc23941"/>
      <w:bookmarkStart w:id="259" w:name="_Toc15613"/>
      <w:r>
        <w:rPr>
          <w:rFonts w:hint="eastAsia" w:ascii="仿宋_GB2312" w:hAnsi="仿宋_GB2312" w:eastAsia="仿宋_GB2312" w:cs="仿宋_GB2312"/>
          <w:color w:val="000000"/>
          <w:sz w:val="32"/>
          <w:szCs w:val="32"/>
        </w:rPr>
        <w:t>（3）推荐评标小组组长。</w:t>
      </w:r>
      <w:bookmarkEnd w:id="258"/>
      <w:bookmarkEnd w:id="259"/>
    </w:p>
    <w:p w14:paraId="38A6F9E4">
      <w:pPr>
        <w:pStyle w:val="26"/>
        <w:widowControl/>
        <w:spacing w:before="0" w:line="592" w:lineRule="exact"/>
        <w:ind w:firstLine="640" w:firstLineChars="200"/>
        <w:rPr>
          <w:rFonts w:ascii="仿宋_GB2312" w:hAnsi="仿宋_GB2312" w:eastAsia="仿宋_GB2312" w:cs="仿宋_GB2312"/>
          <w:color w:val="000000"/>
          <w:sz w:val="32"/>
          <w:szCs w:val="32"/>
        </w:rPr>
      </w:pPr>
      <w:bookmarkStart w:id="260" w:name="_Toc24053"/>
      <w:bookmarkStart w:id="261" w:name="_Toc5263"/>
      <w:r>
        <w:rPr>
          <w:rFonts w:hint="eastAsia" w:ascii="仿宋_GB2312" w:hAnsi="仿宋_GB2312" w:eastAsia="仿宋_GB2312" w:cs="仿宋_GB2312"/>
          <w:color w:val="000000"/>
          <w:sz w:val="32"/>
          <w:szCs w:val="32"/>
        </w:rPr>
        <w:t>（4）初步评审（资格性审查）。</w:t>
      </w:r>
      <w:bookmarkEnd w:id="260"/>
      <w:bookmarkEnd w:id="261"/>
    </w:p>
    <w:p w14:paraId="78CD619D">
      <w:pPr>
        <w:pStyle w:val="26"/>
        <w:widowControl/>
        <w:spacing w:before="0" w:line="592" w:lineRule="exact"/>
        <w:ind w:firstLine="640" w:firstLineChars="200"/>
        <w:rPr>
          <w:rFonts w:ascii="仿宋_GB2312" w:hAnsi="仿宋_GB2312" w:eastAsia="仿宋_GB2312" w:cs="仿宋_GB2312"/>
          <w:color w:val="000000"/>
          <w:sz w:val="32"/>
          <w:szCs w:val="32"/>
        </w:rPr>
      </w:pPr>
      <w:bookmarkStart w:id="262" w:name="_Toc31132"/>
      <w:bookmarkStart w:id="263" w:name="_Toc23992"/>
      <w:r>
        <w:rPr>
          <w:rFonts w:hint="eastAsia" w:ascii="仿宋_GB2312" w:hAnsi="仿宋_GB2312" w:eastAsia="仿宋_GB2312" w:cs="仿宋_GB2312"/>
          <w:color w:val="000000"/>
          <w:sz w:val="32"/>
          <w:szCs w:val="32"/>
        </w:rPr>
        <w:t>（5）澄清有关问题。</w:t>
      </w:r>
      <w:bookmarkEnd w:id="262"/>
      <w:bookmarkEnd w:id="263"/>
    </w:p>
    <w:p w14:paraId="7A26B04E">
      <w:pPr>
        <w:pStyle w:val="26"/>
        <w:widowControl/>
        <w:spacing w:before="0" w:line="592" w:lineRule="exact"/>
        <w:ind w:firstLine="640" w:firstLineChars="200"/>
        <w:rPr>
          <w:rFonts w:ascii="仿宋_GB2312" w:hAnsi="仿宋_GB2312" w:eastAsia="仿宋_GB2312" w:cs="仿宋_GB2312"/>
          <w:color w:val="000000"/>
          <w:sz w:val="32"/>
          <w:szCs w:val="32"/>
        </w:rPr>
      </w:pPr>
      <w:bookmarkStart w:id="264" w:name="_Toc17946"/>
      <w:bookmarkStart w:id="265" w:name="_Toc21735"/>
      <w:r>
        <w:rPr>
          <w:rFonts w:hint="eastAsia" w:ascii="仿宋_GB2312" w:hAnsi="仿宋_GB2312" w:eastAsia="仿宋_GB2312" w:cs="仿宋_GB2312"/>
          <w:color w:val="000000"/>
          <w:sz w:val="32"/>
          <w:szCs w:val="32"/>
        </w:rPr>
        <w:t>（6）综合评审、打分。</w:t>
      </w:r>
      <w:bookmarkEnd w:id="264"/>
      <w:bookmarkEnd w:id="265"/>
    </w:p>
    <w:p w14:paraId="39468C4F">
      <w:pPr>
        <w:pStyle w:val="26"/>
        <w:widowControl/>
        <w:spacing w:before="0" w:line="592" w:lineRule="exact"/>
        <w:ind w:firstLine="640" w:firstLineChars="200"/>
        <w:rPr>
          <w:rFonts w:ascii="仿宋_GB2312" w:hAnsi="仿宋_GB2312" w:eastAsia="仿宋_GB2312" w:cs="仿宋_GB2312"/>
          <w:color w:val="000000"/>
          <w:sz w:val="32"/>
          <w:szCs w:val="32"/>
        </w:rPr>
      </w:pPr>
      <w:bookmarkStart w:id="266" w:name="_Toc28892"/>
      <w:bookmarkStart w:id="267" w:name="_Toc24290"/>
      <w:r>
        <w:rPr>
          <w:rFonts w:hint="eastAsia" w:ascii="仿宋_GB2312" w:hAnsi="仿宋_GB2312" w:eastAsia="仿宋_GB2312" w:cs="仿宋_GB2312"/>
          <w:color w:val="000000"/>
          <w:sz w:val="32"/>
          <w:szCs w:val="32"/>
        </w:rPr>
        <w:t>（7）确定推荐中标候选人名单。</w:t>
      </w:r>
      <w:bookmarkEnd w:id="266"/>
      <w:bookmarkEnd w:id="267"/>
    </w:p>
    <w:p w14:paraId="628182CC">
      <w:pPr>
        <w:pStyle w:val="26"/>
        <w:widowControl/>
        <w:spacing w:before="0" w:line="592" w:lineRule="exact"/>
        <w:ind w:firstLine="640" w:firstLineChars="200"/>
        <w:rPr>
          <w:rFonts w:ascii="仿宋_GB2312" w:hAnsi="仿宋_GB2312" w:eastAsia="仿宋_GB2312" w:cs="仿宋_GB2312"/>
          <w:color w:val="000000"/>
          <w:sz w:val="32"/>
          <w:szCs w:val="32"/>
        </w:rPr>
      </w:pPr>
      <w:bookmarkStart w:id="268" w:name="_Toc30294"/>
      <w:bookmarkStart w:id="269" w:name="_Toc14731"/>
      <w:r>
        <w:rPr>
          <w:rFonts w:hint="eastAsia" w:ascii="仿宋_GB2312" w:hAnsi="仿宋_GB2312" w:eastAsia="仿宋_GB2312" w:cs="仿宋_GB2312"/>
          <w:color w:val="000000"/>
          <w:sz w:val="32"/>
          <w:szCs w:val="32"/>
        </w:rPr>
        <w:t>（8）编写评审报告。</w:t>
      </w:r>
      <w:bookmarkEnd w:id="268"/>
      <w:bookmarkEnd w:id="269"/>
    </w:p>
    <w:p w14:paraId="1D83AC9F">
      <w:pPr>
        <w:pStyle w:val="26"/>
        <w:widowControl/>
        <w:spacing w:before="0" w:line="592" w:lineRule="exact"/>
        <w:ind w:firstLine="640" w:firstLineChars="200"/>
        <w:rPr>
          <w:rFonts w:ascii="仿宋_GB2312" w:hAnsi="仿宋_GB2312" w:eastAsia="仿宋_GB2312" w:cs="仿宋_GB2312"/>
          <w:color w:val="000000"/>
          <w:sz w:val="32"/>
          <w:szCs w:val="32"/>
        </w:rPr>
      </w:pPr>
      <w:bookmarkStart w:id="270" w:name="_Toc10807"/>
      <w:bookmarkStart w:id="271" w:name="_Toc29017"/>
      <w:r>
        <w:rPr>
          <w:rFonts w:hint="eastAsia" w:ascii="仿宋_GB2312" w:hAnsi="仿宋_GB2312" w:eastAsia="仿宋_GB2312" w:cs="仿宋_GB2312"/>
          <w:color w:val="000000"/>
          <w:sz w:val="32"/>
          <w:szCs w:val="32"/>
        </w:rPr>
        <w:t>（9）宣布评审结果。</w:t>
      </w:r>
      <w:bookmarkEnd w:id="270"/>
      <w:bookmarkEnd w:id="271"/>
    </w:p>
    <w:p w14:paraId="5F820170">
      <w:pPr>
        <w:pStyle w:val="26"/>
        <w:widowControl/>
        <w:spacing w:before="0" w:line="592" w:lineRule="exact"/>
        <w:ind w:firstLine="640" w:firstLineChars="200"/>
        <w:rPr>
          <w:rFonts w:ascii="仿宋_GB2312" w:hAnsi="仿宋_GB2312" w:eastAsia="仿宋_GB2312" w:cs="仿宋_GB2312"/>
          <w:color w:val="000000"/>
          <w:sz w:val="32"/>
          <w:szCs w:val="32"/>
        </w:rPr>
      </w:pPr>
      <w:bookmarkStart w:id="272" w:name="_Toc23365"/>
      <w:bookmarkStart w:id="273" w:name="_Toc22249"/>
      <w:bookmarkStart w:id="274" w:name="_Toc18412"/>
      <w:r>
        <w:rPr>
          <w:rFonts w:hint="eastAsia" w:ascii="仿宋_GB2312" w:hAnsi="仿宋_GB2312" w:eastAsia="仿宋_GB2312" w:cs="仿宋_GB2312"/>
          <w:color w:val="000000"/>
          <w:sz w:val="32"/>
          <w:szCs w:val="32"/>
        </w:rPr>
        <w:t>6. 评标</w:t>
      </w:r>
      <w:bookmarkEnd w:id="272"/>
      <w:bookmarkEnd w:id="273"/>
      <w:bookmarkEnd w:id="274"/>
    </w:p>
    <w:p w14:paraId="197E0FF0">
      <w:pPr>
        <w:pStyle w:val="26"/>
        <w:widowControl/>
        <w:spacing w:before="0" w:line="592" w:lineRule="exact"/>
        <w:ind w:firstLine="640" w:firstLineChars="200"/>
        <w:rPr>
          <w:rFonts w:ascii="仿宋_GB2312" w:hAnsi="仿宋_GB2312" w:eastAsia="仿宋_GB2312" w:cs="仿宋_GB2312"/>
          <w:color w:val="000000"/>
          <w:sz w:val="32"/>
          <w:szCs w:val="32"/>
        </w:rPr>
      </w:pPr>
      <w:bookmarkStart w:id="275" w:name="_Toc4768"/>
      <w:bookmarkStart w:id="276" w:name="_Toc28563"/>
      <w:r>
        <w:rPr>
          <w:rFonts w:hint="eastAsia" w:ascii="仿宋_GB2312" w:hAnsi="仿宋_GB2312" w:eastAsia="仿宋_GB2312" w:cs="仿宋_GB2312"/>
          <w:color w:val="000000"/>
          <w:sz w:val="32"/>
          <w:szCs w:val="32"/>
        </w:rPr>
        <w:t>评标按下列程序进行：</w:t>
      </w:r>
      <w:bookmarkEnd w:id="275"/>
      <w:bookmarkEnd w:id="276"/>
    </w:p>
    <w:p w14:paraId="14363365">
      <w:pPr>
        <w:pStyle w:val="26"/>
        <w:widowControl/>
        <w:spacing w:before="0" w:line="592" w:lineRule="exact"/>
        <w:ind w:firstLine="640" w:firstLineChars="200"/>
        <w:rPr>
          <w:rFonts w:ascii="仿宋_GB2312" w:hAnsi="仿宋_GB2312" w:eastAsia="仿宋_GB2312" w:cs="仿宋_GB2312"/>
          <w:color w:val="000000"/>
          <w:sz w:val="32"/>
          <w:szCs w:val="32"/>
        </w:rPr>
      </w:pPr>
      <w:bookmarkStart w:id="277" w:name="_Toc12270"/>
      <w:bookmarkStart w:id="278" w:name="_Toc8263"/>
      <w:r>
        <w:rPr>
          <w:rFonts w:hint="eastAsia" w:ascii="仿宋_GB2312" w:hAnsi="仿宋_GB2312" w:eastAsia="仿宋_GB2312" w:cs="仿宋_GB2312"/>
          <w:color w:val="000000"/>
          <w:sz w:val="32"/>
          <w:szCs w:val="32"/>
        </w:rPr>
        <w:t>（1）组建评标委员会；</w:t>
      </w:r>
      <w:bookmarkEnd w:id="277"/>
      <w:bookmarkEnd w:id="278"/>
    </w:p>
    <w:p w14:paraId="7E5E6EEC">
      <w:pPr>
        <w:pStyle w:val="26"/>
        <w:widowControl/>
        <w:spacing w:before="0" w:line="592" w:lineRule="exact"/>
        <w:ind w:firstLine="640" w:firstLineChars="200"/>
        <w:rPr>
          <w:rFonts w:ascii="仿宋_GB2312" w:hAnsi="仿宋_GB2312" w:eastAsia="仿宋_GB2312" w:cs="仿宋_GB2312"/>
          <w:color w:val="000000"/>
          <w:sz w:val="32"/>
          <w:szCs w:val="32"/>
        </w:rPr>
      </w:pPr>
      <w:bookmarkStart w:id="279" w:name="_Toc23706"/>
      <w:bookmarkStart w:id="280" w:name="_Toc25180"/>
      <w:r>
        <w:rPr>
          <w:rFonts w:hint="eastAsia" w:ascii="仿宋_GB2312" w:hAnsi="仿宋_GB2312" w:eastAsia="仿宋_GB2312" w:cs="仿宋_GB2312"/>
          <w:color w:val="000000"/>
          <w:sz w:val="32"/>
          <w:szCs w:val="32"/>
        </w:rPr>
        <w:t>（2）评标准备工作，评标委员会成员熟悉招标文件等相关文件资料；</w:t>
      </w:r>
      <w:bookmarkEnd w:id="279"/>
      <w:bookmarkEnd w:id="280"/>
    </w:p>
    <w:p w14:paraId="07D24DA5">
      <w:pPr>
        <w:pStyle w:val="26"/>
        <w:widowControl/>
        <w:spacing w:before="0" w:line="592" w:lineRule="exact"/>
        <w:ind w:firstLine="640" w:firstLineChars="200"/>
        <w:rPr>
          <w:rFonts w:ascii="仿宋_GB2312" w:hAnsi="仿宋_GB2312" w:eastAsia="仿宋_GB2312" w:cs="仿宋_GB2312"/>
          <w:color w:val="000000"/>
          <w:sz w:val="32"/>
          <w:szCs w:val="32"/>
        </w:rPr>
      </w:pPr>
      <w:bookmarkStart w:id="281" w:name="_Toc4782"/>
      <w:bookmarkStart w:id="282" w:name="_Toc4689"/>
      <w:r>
        <w:rPr>
          <w:rFonts w:hint="eastAsia" w:ascii="仿宋_GB2312" w:hAnsi="仿宋_GB2312" w:eastAsia="仿宋_GB2312" w:cs="仿宋_GB2312"/>
          <w:color w:val="000000"/>
          <w:sz w:val="32"/>
          <w:szCs w:val="32"/>
        </w:rPr>
        <w:t>（3）初步评审；</w:t>
      </w:r>
      <w:bookmarkEnd w:id="281"/>
      <w:bookmarkEnd w:id="282"/>
    </w:p>
    <w:p w14:paraId="29F97ACD">
      <w:pPr>
        <w:pStyle w:val="26"/>
        <w:widowControl/>
        <w:spacing w:before="0" w:line="592" w:lineRule="exact"/>
        <w:ind w:firstLine="640" w:firstLineChars="200"/>
        <w:rPr>
          <w:rFonts w:ascii="仿宋_GB2312" w:hAnsi="仿宋_GB2312" w:eastAsia="仿宋_GB2312" w:cs="仿宋_GB2312"/>
          <w:color w:val="000000"/>
          <w:sz w:val="32"/>
          <w:szCs w:val="32"/>
        </w:rPr>
      </w:pPr>
      <w:bookmarkStart w:id="283" w:name="_Toc14067"/>
      <w:bookmarkStart w:id="284" w:name="_Toc28459"/>
      <w:r>
        <w:rPr>
          <w:rFonts w:hint="eastAsia" w:ascii="仿宋_GB2312" w:hAnsi="仿宋_GB2312" w:eastAsia="仿宋_GB2312" w:cs="仿宋_GB2312"/>
          <w:color w:val="000000"/>
          <w:sz w:val="32"/>
          <w:szCs w:val="32"/>
        </w:rPr>
        <w:t>（4）详细评审；</w:t>
      </w:r>
      <w:bookmarkEnd w:id="283"/>
      <w:bookmarkEnd w:id="284"/>
    </w:p>
    <w:p w14:paraId="62E8C55D">
      <w:pPr>
        <w:pStyle w:val="26"/>
        <w:widowControl/>
        <w:spacing w:before="0" w:line="592" w:lineRule="exact"/>
        <w:ind w:firstLine="640" w:firstLineChars="200"/>
        <w:rPr>
          <w:rFonts w:ascii="仿宋_GB2312" w:hAnsi="仿宋_GB2312" w:eastAsia="仿宋_GB2312" w:cs="仿宋_GB2312"/>
          <w:color w:val="000000"/>
          <w:sz w:val="32"/>
          <w:szCs w:val="32"/>
        </w:rPr>
      </w:pPr>
      <w:bookmarkStart w:id="285" w:name="_Toc8097"/>
      <w:bookmarkStart w:id="286" w:name="_Toc2828"/>
      <w:r>
        <w:rPr>
          <w:rFonts w:hint="eastAsia" w:ascii="仿宋_GB2312" w:hAnsi="仿宋_GB2312" w:eastAsia="仿宋_GB2312" w:cs="仿宋_GB2312"/>
          <w:color w:val="000000"/>
          <w:sz w:val="32"/>
          <w:szCs w:val="32"/>
        </w:rPr>
        <w:t>（5）向招标人提交书面评标报告。</w:t>
      </w:r>
      <w:bookmarkEnd w:id="285"/>
      <w:bookmarkEnd w:id="286"/>
    </w:p>
    <w:p w14:paraId="16E87826">
      <w:pPr>
        <w:pStyle w:val="26"/>
        <w:widowControl/>
        <w:spacing w:before="0" w:line="592" w:lineRule="exact"/>
        <w:ind w:firstLine="640" w:firstLineChars="200"/>
        <w:rPr>
          <w:rFonts w:ascii="仿宋_GB2312" w:hAnsi="仿宋_GB2312" w:eastAsia="仿宋_GB2312" w:cs="仿宋_GB2312"/>
          <w:color w:val="000000"/>
          <w:sz w:val="32"/>
          <w:szCs w:val="32"/>
        </w:rPr>
      </w:pPr>
      <w:bookmarkStart w:id="287" w:name="_Toc23245"/>
      <w:bookmarkStart w:id="288" w:name="_Toc17808"/>
      <w:r>
        <w:rPr>
          <w:rFonts w:hint="eastAsia" w:ascii="仿宋_GB2312" w:hAnsi="仿宋_GB2312" w:eastAsia="仿宋_GB2312" w:cs="仿宋_GB2312"/>
          <w:color w:val="000000"/>
          <w:sz w:val="32"/>
          <w:szCs w:val="32"/>
        </w:rPr>
        <w:t>评标活动遵循公平、公正、科学和择优的原则。</w:t>
      </w:r>
      <w:bookmarkEnd w:id="287"/>
      <w:bookmarkEnd w:id="288"/>
    </w:p>
    <w:p w14:paraId="6F560AD7">
      <w:pPr>
        <w:pStyle w:val="26"/>
        <w:widowControl/>
        <w:spacing w:before="0" w:line="592" w:lineRule="exact"/>
        <w:ind w:firstLine="640" w:firstLineChars="200"/>
        <w:rPr>
          <w:rFonts w:ascii="仿宋_GB2312" w:hAnsi="仿宋_GB2312" w:eastAsia="仿宋_GB2312" w:cs="仿宋_GB2312"/>
          <w:color w:val="000000"/>
          <w:sz w:val="32"/>
          <w:szCs w:val="32"/>
        </w:rPr>
      </w:pPr>
      <w:bookmarkStart w:id="289" w:name="_Toc21133"/>
      <w:bookmarkStart w:id="290" w:name="_Toc4432"/>
      <w:bookmarkStart w:id="291" w:name="_Toc27143"/>
      <w:r>
        <w:rPr>
          <w:rFonts w:hint="eastAsia" w:ascii="仿宋_GB2312" w:hAnsi="仿宋_GB2312" w:eastAsia="仿宋_GB2312" w:cs="仿宋_GB2312"/>
          <w:color w:val="000000"/>
          <w:sz w:val="32"/>
          <w:szCs w:val="32"/>
        </w:rPr>
        <w:t>6.1 组建评标委员会</w:t>
      </w:r>
      <w:bookmarkEnd w:id="289"/>
      <w:bookmarkEnd w:id="290"/>
      <w:bookmarkEnd w:id="291"/>
    </w:p>
    <w:p w14:paraId="52EACD6B">
      <w:pPr>
        <w:pStyle w:val="26"/>
        <w:widowControl/>
        <w:spacing w:before="0" w:line="592" w:lineRule="exact"/>
        <w:ind w:firstLine="640" w:firstLineChars="200"/>
        <w:rPr>
          <w:rFonts w:ascii="仿宋_GB2312" w:hAnsi="仿宋_GB2312" w:eastAsia="仿宋_GB2312" w:cs="仿宋_GB2312"/>
          <w:color w:val="000000"/>
          <w:sz w:val="32"/>
          <w:szCs w:val="32"/>
        </w:rPr>
      </w:pPr>
      <w:bookmarkStart w:id="292" w:name="_Toc3237"/>
      <w:bookmarkStart w:id="293" w:name="_Toc4908"/>
      <w:r>
        <w:rPr>
          <w:rFonts w:hint="eastAsia" w:ascii="仿宋_GB2312" w:hAnsi="仿宋_GB2312" w:eastAsia="仿宋_GB2312" w:cs="仿宋_GB2312"/>
          <w:color w:val="000000"/>
          <w:sz w:val="32"/>
          <w:szCs w:val="32"/>
        </w:rPr>
        <w:t>6.1.1评标委员会由招标人依法组建，一般由招标人的代表和有关技术、经济等方面的专家组成。评标委员会中招标人的代表应当具备法律、法规和规章规定的评标专家条件。无符合条件人选的，从评标专家库中随机抽取。</w:t>
      </w:r>
      <w:bookmarkEnd w:id="292"/>
      <w:bookmarkEnd w:id="293"/>
    </w:p>
    <w:p w14:paraId="14D770B1">
      <w:pPr>
        <w:pStyle w:val="26"/>
        <w:widowControl/>
        <w:spacing w:before="0" w:line="592" w:lineRule="exact"/>
        <w:ind w:firstLine="640" w:firstLineChars="200"/>
        <w:rPr>
          <w:rFonts w:ascii="仿宋_GB2312" w:hAnsi="仿宋_GB2312" w:eastAsia="仿宋_GB2312" w:cs="仿宋_GB2312"/>
          <w:color w:val="000000"/>
          <w:sz w:val="32"/>
          <w:szCs w:val="32"/>
        </w:rPr>
      </w:pPr>
      <w:bookmarkStart w:id="294" w:name="_Toc11962"/>
      <w:bookmarkStart w:id="295" w:name="_Toc19837"/>
      <w:r>
        <w:rPr>
          <w:rFonts w:hint="eastAsia" w:ascii="仿宋_GB2312" w:hAnsi="仿宋_GB2312" w:eastAsia="仿宋_GB2312" w:cs="仿宋_GB2312"/>
          <w:color w:val="000000"/>
          <w:sz w:val="32"/>
          <w:szCs w:val="32"/>
        </w:rPr>
        <w:t>6.1.2评标委员会成员有下列情形之一的，应当回避：</w:t>
      </w:r>
      <w:bookmarkEnd w:id="294"/>
      <w:bookmarkEnd w:id="295"/>
    </w:p>
    <w:p w14:paraId="280B0294">
      <w:pPr>
        <w:pStyle w:val="26"/>
        <w:widowControl/>
        <w:spacing w:before="0" w:line="592" w:lineRule="exact"/>
        <w:ind w:firstLine="640" w:firstLineChars="200"/>
        <w:rPr>
          <w:rFonts w:ascii="仿宋_GB2312" w:hAnsi="仿宋_GB2312" w:eastAsia="仿宋_GB2312" w:cs="仿宋_GB2312"/>
          <w:color w:val="000000"/>
          <w:sz w:val="32"/>
          <w:szCs w:val="32"/>
        </w:rPr>
      </w:pPr>
      <w:bookmarkStart w:id="296" w:name="_Toc18242"/>
      <w:bookmarkStart w:id="297" w:name="_Toc1052"/>
      <w:r>
        <w:rPr>
          <w:rFonts w:hint="eastAsia" w:ascii="仿宋_GB2312" w:hAnsi="仿宋_GB2312" w:eastAsia="仿宋_GB2312" w:cs="仿宋_GB2312"/>
          <w:color w:val="000000"/>
          <w:sz w:val="32"/>
          <w:szCs w:val="32"/>
        </w:rPr>
        <w:t>（1）招标人或投标人的主要负责人的近亲属；</w:t>
      </w:r>
      <w:bookmarkEnd w:id="296"/>
      <w:bookmarkEnd w:id="297"/>
    </w:p>
    <w:p w14:paraId="496EBE28">
      <w:pPr>
        <w:pStyle w:val="26"/>
        <w:widowControl/>
        <w:spacing w:before="0" w:line="592" w:lineRule="exact"/>
        <w:ind w:firstLine="640" w:firstLineChars="200"/>
        <w:rPr>
          <w:rFonts w:ascii="仿宋_GB2312" w:hAnsi="仿宋_GB2312" w:eastAsia="仿宋_GB2312" w:cs="仿宋_GB2312"/>
          <w:color w:val="000000"/>
          <w:sz w:val="32"/>
          <w:szCs w:val="32"/>
        </w:rPr>
      </w:pPr>
      <w:bookmarkStart w:id="298" w:name="_Toc29125"/>
      <w:bookmarkStart w:id="299" w:name="_Toc32701"/>
      <w:r>
        <w:rPr>
          <w:rFonts w:hint="eastAsia" w:ascii="仿宋_GB2312" w:hAnsi="仿宋_GB2312" w:eastAsia="仿宋_GB2312" w:cs="仿宋_GB2312"/>
          <w:color w:val="000000"/>
          <w:sz w:val="32"/>
          <w:szCs w:val="32"/>
        </w:rPr>
        <w:t>（2）与投标人有经济利益关系，可能影响对投标公正评审的；</w:t>
      </w:r>
      <w:bookmarkEnd w:id="298"/>
      <w:bookmarkEnd w:id="299"/>
    </w:p>
    <w:p w14:paraId="3881EEEE">
      <w:pPr>
        <w:pStyle w:val="26"/>
        <w:widowControl/>
        <w:spacing w:before="0" w:line="592" w:lineRule="exact"/>
        <w:ind w:firstLine="640" w:firstLineChars="200"/>
        <w:rPr>
          <w:rFonts w:ascii="仿宋_GB2312" w:hAnsi="仿宋_GB2312" w:eastAsia="仿宋_GB2312" w:cs="仿宋_GB2312"/>
          <w:color w:val="000000"/>
          <w:sz w:val="32"/>
          <w:szCs w:val="32"/>
        </w:rPr>
      </w:pPr>
      <w:bookmarkStart w:id="300" w:name="_Toc19854"/>
      <w:bookmarkStart w:id="301" w:name="_Toc13530"/>
      <w:r>
        <w:rPr>
          <w:rFonts w:hint="eastAsia" w:ascii="仿宋_GB2312" w:hAnsi="仿宋_GB2312" w:eastAsia="仿宋_GB2312" w:cs="仿宋_GB2312"/>
          <w:color w:val="000000"/>
          <w:sz w:val="32"/>
          <w:szCs w:val="32"/>
        </w:rPr>
        <w:t>（3）曾因在招标、评标以及其他与招标投标有关活动中从事违法行为而受过行政处罚或刑事处罚的。</w:t>
      </w:r>
      <w:bookmarkEnd w:id="300"/>
      <w:bookmarkEnd w:id="301"/>
    </w:p>
    <w:p w14:paraId="6BB7F79A">
      <w:pPr>
        <w:pStyle w:val="26"/>
        <w:widowControl/>
        <w:spacing w:before="0" w:line="592" w:lineRule="exact"/>
        <w:ind w:firstLine="640" w:firstLineChars="200"/>
        <w:rPr>
          <w:rFonts w:ascii="仿宋_GB2312" w:hAnsi="仿宋_GB2312" w:eastAsia="仿宋_GB2312" w:cs="仿宋_GB2312"/>
          <w:color w:val="000000"/>
          <w:sz w:val="32"/>
          <w:szCs w:val="32"/>
        </w:rPr>
      </w:pPr>
      <w:bookmarkStart w:id="302" w:name="_Toc1772"/>
      <w:bookmarkStart w:id="303" w:name="_Toc3632"/>
      <w:bookmarkStart w:id="304" w:name="_Toc1130"/>
      <w:r>
        <w:rPr>
          <w:rFonts w:hint="eastAsia" w:ascii="仿宋_GB2312" w:hAnsi="仿宋_GB2312" w:eastAsia="仿宋_GB2312" w:cs="仿宋_GB2312"/>
          <w:color w:val="000000"/>
          <w:sz w:val="32"/>
          <w:szCs w:val="32"/>
        </w:rPr>
        <w:t>6.2 评标准备</w:t>
      </w:r>
      <w:bookmarkEnd w:id="302"/>
      <w:bookmarkEnd w:id="303"/>
      <w:bookmarkEnd w:id="304"/>
    </w:p>
    <w:p w14:paraId="0BA2B24E">
      <w:pPr>
        <w:pStyle w:val="26"/>
        <w:widowControl/>
        <w:spacing w:before="0" w:line="592" w:lineRule="exact"/>
        <w:ind w:firstLine="640" w:firstLineChars="200"/>
        <w:rPr>
          <w:rFonts w:ascii="仿宋_GB2312" w:hAnsi="仿宋_GB2312" w:eastAsia="仿宋_GB2312" w:cs="仿宋_GB2312"/>
          <w:color w:val="000000"/>
          <w:sz w:val="32"/>
          <w:szCs w:val="32"/>
        </w:rPr>
      </w:pPr>
      <w:bookmarkStart w:id="305" w:name="_Toc21806"/>
      <w:bookmarkStart w:id="306" w:name="_Toc6044"/>
      <w:r>
        <w:rPr>
          <w:rFonts w:hint="eastAsia" w:ascii="仿宋_GB2312" w:hAnsi="仿宋_GB2312" w:eastAsia="仿宋_GB2312" w:cs="仿宋_GB2312"/>
          <w:color w:val="000000"/>
          <w:sz w:val="32"/>
          <w:szCs w:val="32"/>
        </w:rPr>
        <w:t>6.2.1评标委员会成员签到</w:t>
      </w:r>
      <w:bookmarkEnd w:id="305"/>
      <w:bookmarkEnd w:id="306"/>
    </w:p>
    <w:p w14:paraId="7B9F086A">
      <w:pPr>
        <w:pStyle w:val="26"/>
        <w:widowControl/>
        <w:spacing w:before="0" w:line="592" w:lineRule="exact"/>
        <w:ind w:firstLine="640" w:firstLineChars="200"/>
        <w:rPr>
          <w:rFonts w:ascii="仿宋_GB2312" w:hAnsi="仿宋_GB2312" w:eastAsia="仿宋_GB2312" w:cs="仿宋_GB2312"/>
          <w:color w:val="000000"/>
          <w:sz w:val="32"/>
          <w:szCs w:val="32"/>
        </w:rPr>
      </w:pPr>
      <w:bookmarkStart w:id="307" w:name="_Toc6579"/>
      <w:bookmarkStart w:id="308" w:name="_Toc11430"/>
      <w:r>
        <w:rPr>
          <w:rFonts w:hint="eastAsia" w:ascii="仿宋_GB2312" w:hAnsi="仿宋_GB2312" w:eastAsia="仿宋_GB2312" w:cs="仿宋_GB2312"/>
          <w:color w:val="000000"/>
          <w:sz w:val="32"/>
          <w:szCs w:val="32"/>
        </w:rPr>
        <w:t>评标委员会成员到达评标现场时应在签到表上签到以证明其出席。</w:t>
      </w:r>
      <w:bookmarkEnd w:id="307"/>
      <w:bookmarkEnd w:id="308"/>
    </w:p>
    <w:p w14:paraId="1F12BF8C">
      <w:pPr>
        <w:pStyle w:val="26"/>
        <w:widowControl/>
        <w:spacing w:before="0" w:line="592" w:lineRule="exact"/>
        <w:ind w:firstLine="640" w:firstLineChars="200"/>
        <w:rPr>
          <w:rFonts w:ascii="仿宋_GB2312" w:hAnsi="仿宋_GB2312" w:eastAsia="仿宋_GB2312" w:cs="仿宋_GB2312"/>
          <w:color w:val="000000"/>
          <w:sz w:val="32"/>
          <w:szCs w:val="32"/>
        </w:rPr>
      </w:pPr>
      <w:bookmarkStart w:id="309" w:name="_Toc24532"/>
      <w:bookmarkStart w:id="310" w:name="_Toc2102"/>
      <w:r>
        <w:rPr>
          <w:rFonts w:hint="eastAsia" w:ascii="仿宋_GB2312" w:hAnsi="仿宋_GB2312" w:eastAsia="仿宋_GB2312" w:cs="仿宋_GB2312"/>
          <w:color w:val="000000"/>
          <w:sz w:val="32"/>
          <w:szCs w:val="32"/>
        </w:rPr>
        <w:t>6.2.2评标委员会的分工</w:t>
      </w:r>
      <w:bookmarkEnd w:id="309"/>
      <w:bookmarkEnd w:id="310"/>
    </w:p>
    <w:p w14:paraId="2D4B2D36">
      <w:pPr>
        <w:pStyle w:val="26"/>
        <w:widowControl/>
        <w:spacing w:before="0" w:line="592" w:lineRule="exact"/>
        <w:ind w:firstLine="640" w:firstLineChars="200"/>
        <w:rPr>
          <w:rFonts w:ascii="仿宋_GB2312" w:hAnsi="仿宋_GB2312" w:eastAsia="仿宋_GB2312" w:cs="仿宋_GB2312"/>
          <w:color w:val="000000"/>
          <w:sz w:val="32"/>
          <w:szCs w:val="32"/>
        </w:rPr>
      </w:pPr>
      <w:bookmarkStart w:id="311" w:name="_Toc27302"/>
      <w:bookmarkStart w:id="312" w:name="_Toc5338"/>
      <w:r>
        <w:rPr>
          <w:rFonts w:hint="eastAsia" w:ascii="仿宋_GB2312" w:hAnsi="仿宋_GB2312" w:eastAsia="仿宋_GB2312" w:cs="仿宋_GB2312"/>
          <w:color w:val="000000"/>
          <w:sz w:val="32"/>
          <w:szCs w:val="32"/>
        </w:rPr>
        <w:t>评标委员会应推选一名评标委员会主任，负责主持评标会议，评标委员会主任原则上由招标人代表担任。评标委员会主任在与其他评标委员会成员协商的基础上，可以将评标委员会划分为技术组和商务组。</w:t>
      </w:r>
      <w:bookmarkEnd w:id="311"/>
      <w:bookmarkEnd w:id="312"/>
    </w:p>
    <w:p w14:paraId="381231CE">
      <w:pPr>
        <w:pStyle w:val="26"/>
        <w:widowControl/>
        <w:spacing w:before="0" w:line="592" w:lineRule="exact"/>
        <w:ind w:firstLine="640" w:firstLineChars="200"/>
        <w:rPr>
          <w:rFonts w:ascii="仿宋_GB2312" w:hAnsi="仿宋_GB2312" w:eastAsia="仿宋_GB2312" w:cs="仿宋_GB2312"/>
          <w:color w:val="000000"/>
          <w:sz w:val="32"/>
          <w:szCs w:val="32"/>
        </w:rPr>
      </w:pPr>
      <w:bookmarkStart w:id="313" w:name="_Toc21215"/>
      <w:bookmarkStart w:id="314" w:name="_Toc22984"/>
      <w:r>
        <w:rPr>
          <w:rFonts w:hint="eastAsia" w:ascii="仿宋_GB2312" w:hAnsi="仿宋_GB2312" w:eastAsia="仿宋_GB2312" w:cs="仿宋_GB2312"/>
          <w:color w:val="000000"/>
          <w:sz w:val="32"/>
          <w:szCs w:val="32"/>
        </w:rPr>
        <w:t>6.2.3熟悉文件资料</w:t>
      </w:r>
      <w:bookmarkEnd w:id="313"/>
      <w:bookmarkEnd w:id="314"/>
    </w:p>
    <w:p w14:paraId="2D0D86BA">
      <w:pPr>
        <w:pStyle w:val="26"/>
        <w:widowControl/>
        <w:spacing w:before="0" w:line="592" w:lineRule="exact"/>
        <w:ind w:firstLine="640" w:firstLineChars="200"/>
        <w:rPr>
          <w:rFonts w:ascii="仿宋_GB2312" w:hAnsi="仿宋_GB2312" w:eastAsia="仿宋_GB2312" w:cs="仿宋_GB2312"/>
          <w:color w:val="000000"/>
          <w:sz w:val="32"/>
          <w:szCs w:val="32"/>
        </w:rPr>
      </w:pPr>
      <w:bookmarkStart w:id="315" w:name="_Toc24393"/>
      <w:bookmarkStart w:id="316" w:name="_Toc3032"/>
      <w:r>
        <w:rPr>
          <w:rFonts w:hint="eastAsia" w:ascii="仿宋_GB2312" w:hAnsi="仿宋_GB2312" w:eastAsia="仿宋_GB2312" w:cs="仿宋_GB2312"/>
          <w:color w:val="000000"/>
          <w:sz w:val="32"/>
          <w:szCs w:val="32"/>
        </w:rPr>
        <w:t>（1）评标委员会成员认真研究招标文件，了解和熟悉招标目的、招标范围、主要合同条件、质量标准和工期要求等，掌握评标标准和方法，熟悉本章及附件中包括的评标表格的使用。未在招标文件中规定的标准和方法不得作为评标的依据。</w:t>
      </w:r>
      <w:bookmarkEnd w:id="315"/>
      <w:bookmarkEnd w:id="316"/>
    </w:p>
    <w:p w14:paraId="7AF64DB5">
      <w:pPr>
        <w:pStyle w:val="26"/>
        <w:widowControl/>
        <w:spacing w:before="0" w:line="592" w:lineRule="exact"/>
        <w:ind w:firstLine="640" w:firstLineChars="200"/>
        <w:rPr>
          <w:rFonts w:ascii="仿宋_GB2312" w:hAnsi="仿宋_GB2312" w:eastAsia="仿宋_GB2312" w:cs="仿宋_GB2312"/>
          <w:color w:val="000000"/>
          <w:sz w:val="32"/>
          <w:szCs w:val="32"/>
        </w:rPr>
      </w:pPr>
      <w:bookmarkStart w:id="317" w:name="_Toc13688"/>
      <w:bookmarkStart w:id="318" w:name="_Toc20414"/>
      <w:r>
        <w:rPr>
          <w:rFonts w:hint="eastAsia" w:ascii="仿宋_GB2312" w:hAnsi="仿宋_GB2312" w:eastAsia="仿宋_GB2312" w:cs="仿宋_GB2312"/>
          <w:color w:val="000000"/>
          <w:sz w:val="32"/>
          <w:szCs w:val="32"/>
        </w:rPr>
        <w:t>（2）招标人或招标代理机构应向评标委员会提供评标所需的信息和数据，包括招标文件、投标文件、开标会记录以及评标委员会认为必要的其他信息和数据。</w:t>
      </w:r>
      <w:bookmarkEnd w:id="317"/>
      <w:bookmarkEnd w:id="318"/>
    </w:p>
    <w:p w14:paraId="5610052D">
      <w:pPr>
        <w:pStyle w:val="26"/>
        <w:widowControl/>
        <w:spacing w:before="0" w:line="592" w:lineRule="exact"/>
        <w:ind w:firstLine="640" w:firstLineChars="200"/>
        <w:rPr>
          <w:rFonts w:ascii="仿宋_GB2312" w:hAnsi="仿宋_GB2312" w:eastAsia="仿宋_GB2312" w:cs="仿宋_GB2312"/>
          <w:color w:val="000000"/>
          <w:sz w:val="32"/>
          <w:szCs w:val="32"/>
        </w:rPr>
      </w:pPr>
      <w:bookmarkStart w:id="319" w:name="_Toc14127"/>
      <w:bookmarkStart w:id="320" w:name="_Toc20087"/>
      <w:bookmarkStart w:id="321" w:name="_Toc6037"/>
      <w:r>
        <w:rPr>
          <w:rFonts w:hint="eastAsia" w:ascii="仿宋_GB2312" w:hAnsi="仿宋_GB2312" w:eastAsia="仿宋_GB2312" w:cs="仿宋_GB2312"/>
          <w:color w:val="000000"/>
          <w:sz w:val="32"/>
          <w:szCs w:val="32"/>
        </w:rPr>
        <w:t>6.3 初步评审</w:t>
      </w:r>
      <w:bookmarkEnd w:id="319"/>
      <w:bookmarkEnd w:id="320"/>
      <w:bookmarkEnd w:id="321"/>
    </w:p>
    <w:p w14:paraId="3FA362E5">
      <w:pPr>
        <w:pStyle w:val="26"/>
        <w:widowControl/>
        <w:spacing w:before="0" w:line="592" w:lineRule="exact"/>
        <w:ind w:firstLine="640" w:firstLineChars="200"/>
        <w:rPr>
          <w:rFonts w:ascii="仿宋_GB2312" w:hAnsi="仿宋_GB2312" w:eastAsia="仿宋_GB2312" w:cs="仿宋_GB2312"/>
          <w:color w:val="000000"/>
          <w:sz w:val="32"/>
          <w:szCs w:val="32"/>
        </w:rPr>
      </w:pPr>
      <w:bookmarkStart w:id="322" w:name="_Toc21048"/>
      <w:bookmarkStart w:id="323" w:name="_Toc28274"/>
      <w:r>
        <w:rPr>
          <w:rFonts w:hint="eastAsia" w:ascii="仿宋_GB2312" w:hAnsi="仿宋_GB2312" w:eastAsia="仿宋_GB2312" w:cs="仿宋_GB2312"/>
          <w:color w:val="000000"/>
          <w:sz w:val="32"/>
          <w:szCs w:val="32"/>
        </w:rPr>
        <w:t>6.3.1评标委员会按照下列程序对投标文件进行初步评审：</w:t>
      </w:r>
      <w:bookmarkEnd w:id="322"/>
      <w:bookmarkEnd w:id="323"/>
    </w:p>
    <w:p w14:paraId="7A15B2F8">
      <w:pPr>
        <w:pStyle w:val="26"/>
        <w:widowControl/>
        <w:spacing w:before="0" w:line="592" w:lineRule="exact"/>
        <w:ind w:firstLine="640" w:firstLineChars="200"/>
        <w:rPr>
          <w:rFonts w:ascii="仿宋_GB2312" w:hAnsi="仿宋_GB2312" w:eastAsia="仿宋_GB2312" w:cs="仿宋_GB2312"/>
          <w:color w:val="000000"/>
          <w:sz w:val="32"/>
          <w:szCs w:val="32"/>
        </w:rPr>
      </w:pPr>
      <w:bookmarkStart w:id="324" w:name="_Toc21691"/>
      <w:bookmarkStart w:id="325" w:name="_Toc3268"/>
      <w:r>
        <w:rPr>
          <w:rFonts w:hint="eastAsia" w:ascii="仿宋_GB2312" w:hAnsi="仿宋_GB2312" w:eastAsia="仿宋_GB2312" w:cs="仿宋_GB2312"/>
          <w:color w:val="000000"/>
          <w:sz w:val="32"/>
          <w:szCs w:val="32"/>
        </w:rPr>
        <w:t>（1）形式评审，具体详见评分办法前附表；</w:t>
      </w:r>
      <w:bookmarkEnd w:id="324"/>
      <w:bookmarkEnd w:id="325"/>
    </w:p>
    <w:p w14:paraId="2D7FD4BF">
      <w:pPr>
        <w:pStyle w:val="26"/>
        <w:widowControl/>
        <w:spacing w:before="0" w:line="592" w:lineRule="exact"/>
        <w:ind w:firstLine="640" w:firstLineChars="200"/>
        <w:rPr>
          <w:rFonts w:ascii="仿宋_GB2312" w:hAnsi="仿宋_GB2312" w:eastAsia="仿宋_GB2312" w:cs="仿宋_GB2312"/>
          <w:color w:val="000000"/>
          <w:sz w:val="32"/>
          <w:szCs w:val="32"/>
        </w:rPr>
      </w:pPr>
      <w:bookmarkStart w:id="326" w:name="_Toc16159"/>
      <w:bookmarkStart w:id="327" w:name="_Toc13719"/>
      <w:r>
        <w:rPr>
          <w:rFonts w:hint="eastAsia" w:ascii="仿宋_GB2312" w:hAnsi="仿宋_GB2312" w:eastAsia="仿宋_GB2312" w:cs="仿宋_GB2312"/>
          <w:color w:val="000000"/>
          <w:sz w:val="32"/>
          <w:szCs w:val="32"/>
        </w:rPr>
        <w:t>（2）资格评审，具体详见评分办法前附表；</w:t>
      </w:r>
      <w:bookmarkEnd w:id="326"/>
      <w:bookmarkEnd w:id="327"/>
    </w:p>
    <w:p w14:paraId="1C117895">
      <w:pPr>
        <w:pStyle w:val="26"/>
        <w:widowControl/>
        <w:spacing w:before="0" w:line="592" w:lineRule="exact"/>
        <w:ind w:firstLine="640" w:firstLineChars="200"/>
        <w:rPr>
          <w:rFonts w:ascii="仿宋_GB2312" w:hAnsi="仿宋_GB2312" w:eastAsia="仿宋_GB2312" w:cs="仿宋_GB2312"/>
          <w:color w:val="000000"/>
          <w:sz w:val="32"/>
          <w:szCs w:val="32"/>
        </w:rPr>
      </w:pPr>
      <w:bookmarkStart w:id="328" w:name="_Toc32617"/>
      <w:bookmarkStart w:id="329" w:name="_Toc6248"/>
      <w:r>
        <w:rPr>
          <w:rFonts w:hint="eastAsia" w:ascii="仿宋_GB2312" w:hAnsi="仿宋_GB2312" w:eastAsia="仿宋_GB2312" w:cs="仿宋_GB2312"/>
          <w:color w:val="000000"/>
          <w:sz w:val="32"/>
          <w:szCs w:val="32"/>
        </w:rPr>
        <w:t>（3）响应性评审，具体详见评分办法前附表；</w:t>
      </w:r>
      <w:bookmarkEnd w:id="328"/>
      <w:bookmarkEnd w:id="329"/>
    </w:p>
    <w:p w14:paraId="654BB3C2">
      <w:pPr>
        <w:pStyle w:val="26"/>
        <w:widowControl/>
        <w:spacing w:before="0" w:line="592" w:lineRule="exact"/>
        <w:ind w:firstLine="640" w:firstLineChars="200"/>
        <w:rPr>
          <w:rFonts w:ascii="仿宋_GB2312" w:hAnsi="仿宋_GB2312" w:eastAsia="仿宋_GB2312" w:cs="仿宋_GB2312"/>
          <w:color w:val="000000"/>
          <w:sz w:val="32"/>
          <w:szCs w:val="32"/>
        </w:rPr>
      </w:pPr>
      <w:bookmarkStart w:id="330" w:name="_Toc12958"/>
      <w:bookmarkStart w:id="331" w:name="_Toc11270"/>
      <w:r>
        <w:rPr>
          <w:rFonts w:hint="eastAsia" w:ascii="仿宋_GB2312" w:hAnsi="仿宋_GB2312" w:eastAsia="仿宋_GB2312" w:cs="仿宋_GB2312"/>
          <w:color w:val="000000"/>
          <w:sz w:val="32"/>
          <w:szCs w:val="32"/>
        </w:rPr>
        <w:t>（4）判断其投标是否被否决；</w:t>
      </w:r>
      <w:bookmarkEnd w:id="330"/>
      <w:bookmarkEnd w:id="331"/>
    </w:p>
    <w:p w14:paraId="243C0C32">
      <w:pPr>
        <w:pStyle w:val="26"/>
        <w:widowControl/>
        <w:spacing w:before="0" w:line="592" w:lineRule="exact"/>
        <w:ind w:firstLine="640" w:firstLineChars="200"/>
        <w:rPr>
          <w:rFonts w:ascii="仿宋_GB2312" w:hAnsi="仿宋_GB2312" w:eastAsia="仿宋_GB2312" w:cs="仿宋_GB2312"/>
          <w:color w:val="000000"/>
          <w:sz w:val="32"/>
          <w:szCs w:val="32"/>
        </w:rPr>
      </w:pPr>
      <w:bookmarkStart w:id="332" w:name="_Toc17183"/>
      <w:bookmarkStart w:id="333" w:name="_Toc25467"/>
      <w:r>
        <w:rPr>
          <w:rFonts w:hint="eastAsia" w:ascii="仿宋_GB2312" w:hAnsi="仿宋_GB2312" w:eastAsia="仿宋_GB2312" w:cs="仿宋_GB2312"/>
          <w:color w:val="000000"/>
          <w:sz w:val="32"/>
          <w:szCs w:val="32"/>
        </w:rPr>
        <w:t>（5）投标报价的修正；</w:t>
      </w:r>
      <w:bookmarkEnd w:id="332"/>
      <w:bookmarkEnd w:id="333"/>
    </w:p>
    <w:p w14:paraId="2EAC912A">
      <w:pPr>
        <w:pStyle w:val="26"/>
        <w:widowControl/>
        <w:spacing w:before="0" w:line="592" w:lineRule="exact"/>
        <w:ind w:firstLine="640" w:firstLineChars="200"/>
        <w:rPr>
          <w:rFonts w:ascii="仿宋_GB2312" w:hAnsi="仿宋_GB2312" w:eastAsia="仿宋_GB2312" w:cs="仿宋_GB2312"/>
          <w:color w:val="000000"/>
          <w:sz w:val="32"/>
          <w:szCs w:val="32"/>
        </w:rPr>
      </w:pPr>
      <w:bookmarkStart w:id="334" w:name="_Toc15704"/>
      <w:bookmarkStart w:id="335" w:name="_Toc13683"/>
      <w:r>
        <w:rPr>
          <w:rFonts w:hint="eastAsia" w:ascii="仿宋_GB2312" w:hAnsi="仿宋_GB2312" w:eastAsia="仿宋_GB2312" w:cs="仿宋_GB2312"/>
          <w:color w:val="000000"/>
          <w:sz w:val="32"/>
          <w:szCs w:val="32"/>
        </w:rPr>
        <w:t>（6）投标文件的澄清、说明或补正；</w:t>
      </w:r>
      <w:bookmarkEnd w:id="334"/>
      <w:bookmarkEnd w:id="335"/>
    </w:p>
    <w:p w14:paraId="2D49B82C">
      <w:pPr>
        <w:pStyle w:val="26"/>
        <w:widowControl/>
        <w:spacing w:before="0" w:line="592" w:lineRule="exact"/>
        <w:ind w:firstLine="640" w:firstLineChars="200"/>
        <w:rPr>
          <w:rFonts w:ascii="仿宋_GB2312" w:hAnsi="仿宋_GB2312" w:eastAsia="仿宋_GB2312" w:cs="仿宋_GB2312"/>
          <w:color w:val="000000"/>
          <w:sz w:val="32"/>
          <w:szCs w:val="32"/>
        </w:rPr>
      </w:pPr>
      <w:bookmarkStart w:id="336" w:name="_Toc27023"/>
      <w:bookmarkStart w:id="337" w:name="_Toc19535"/>
      <w:r>
        <w:rPr>
          <w:rFonts w:hint="eastAsia" w:ascii="仿宋_GB2312" w:hAnsi="仿宋_GB2312" w:eastAsia="仿宋_GB2312" w:cs="仿宋_GB2312"/>
          <w:color w:val="000000"/>
          <w:sz w:val="32"/>
          <w:szCs w:val="32"/>
        </w:rPr>
        <w:t>（7）汇总初步评审结果，确定进入详细评审阶段的投标人名单。</w:t>
      </w:r>
      <w:bookmarkEnd w:id="336"/>
      <w:bookmarkEnd w:id="337"/>
    </w:p>
    <w:p w14:paraId="002B4781">
      <w:pPr>
        <w:pStyle w:val="26"/>
        <w:widowControl/>
        <w:spacing w:before="0" w:line="592" w:lineRule="exact"/>
        <w:ind w:firstLine="640" w:firstLineChars="200"/>
        <w:rPr>
          <w:rFonts w:ascii="仿宋_GB2312" w:hAnsi="仿宋_GB2312" w:eastAsia="仿宋_GB2312" w:cs="仿宋_GB2312"/>
          <w:color w:val="000000"/>
          <w:sz w:val="32"/>
          <w:szCs w:val="32"/>
        </w:rPr>
      </w:pPr>
      <w:bookmarkStart w:id="338" w:name="_Toc16418"/>
      <w:bookmarkStart w:id="339" w:name="_Toc31217"/>
      <w:r>
        <w:rPr>
          <w:rFonts w:hint="eastAsia" w:ascii="仿宋_GB2312" w:hAnsi="仿宋_GB2312" w:eastAsia="仿宋_GB2312" w:cs="仿宋_GB2312"/>
          <w:color w:val="000000"/>
          <w:sz w:val="32"/>
          <w:szCs w:val="32"/>
        </w:rPr>
        <w:t>6.3.2判断其投标是否被否决</w:t>
      </w:r>
      <w:bookmarkEnd w:id="338"/>
      <w:bookmarkEnd w:id="339"/>
    </w:p>
    <w:p w14:paraId="1762D956">
      <w:pPr>
        <w:pStyle w:val="26"/>
        <w:widowControl/>
        <w:spacing w:before="0" w:line="592" w:lineRule="exact"/>
        <w:ind w:firstLine="640" w:firstLineChars="200"/>
        <w:rPr>
          <w:rFonts w:ascii="仿宋_GB2312" w:hAnsi="仿宋_GB2312" w:eastAsia="仿宋_GB2312" w:cs="仿宋_GB2312"/>
          <w:color w:val="000000"/>
          <w:sz w:val="32"/>
          <w:szCs w:val="32"/>
        </w:rPr>
      </w:pPr>
      <w:bookmarkStart w:id="340" w:name="_Toc616"/>
      <w:bookmarkStart w:id="341" w:name="_Toc30111"/>
      <w:r>
        <w:rPr>
          <w:rFonts w:hint="eastAsia" w:ascii="仿宋_GB2312" w:hAnsi="仿宋_GB2312" w:eastAsia="仿宋_GB2312" w:cs="仿宋_GB2312"/>
          <w:color w:val="000000"/>
          <w:sz w:val="32"/>
          <w:szCs w:val="32"/>
        </w:rPr>
        <w:t>投标文件有下列情形之一的，评标委员会将否决其投标：</w:t>
      </w:r>
      <w:bookmarkEnd w:id="340"/>
      <w:bookmarkEnd w:id="341"/>
    </w:p>
    <w:p w14:paraId="463877EF">
      <w:pPr>
        <w:pStyle w:val="26"/>
        <w:widowControl/>
        <w:spacing w:before="0" w:line="592" w:lineRule="exact"/>
        <w:ind w:firstLine="640" w:firstLineChars="200"/>
        <w:rPr>
          <w:rFonts w:ascii="仿宋_GB2312" w:hAnsi="仿宋_GB2312" w:eastAsia="仿宋_GB2312" w:cs="仿宋_GB2312"/>
          <w:color w:val="000000"/>
          <w:sz w:val="32"/>
          <w:szCs w:val="32"/>
        </w:rPr>
      </w:pPr>
      <w:bookmarkStart w:id="342" w:name="_Toc4637"/>
      <w:bookmarkStart w:id="343" w:name="_Toc13241"/>
      <w:r>
        <w:rPr>
          <w:rFonts w:hint="eastAsia" w:ascii="仿宋_GB2312" w:hAnsi="仿宋_GB2312" w:eastAsia="仿宋_GB2312" w:cs="仿宋_GB2312"/>
          <w:color w:val="000000"/>
          <w:sz w:val="32"/>
          <w:szCs w:val="32"/>
        </w:rPr>
        <w:t>（1）有第二章“投标人须知”第1.4.3项规定的任何一种情形的；</w:t>
      </w:r>
      <w:bookmarkEnd w:id="342"/>
      <w:bookmarkEnd w:id="343"/>
    </w:p>
    <w:p w14:paraId="7F5DDCCD">
      <w:pPr>
        <w:pStyle w:val="26"/>
        <w:widowControl/>
        <w:spacing w:before="0" w:line="592" w:lineRule="exact"/>
        <w:ind w:firstLine="640" w:firstLineChars="200"/>
        <w:rPr>
          <w:rFonts w:ascii="仿宋_GB2312" w:hAnsi="仿宋_GB2312" w:eastAsia="仿宋_GB2312" w:cs="仿宋_GB2312"/>
          <w:color w:val="000000"/>
          <w:sz w:val="32"/>
          <w:szCs w:val="32"/>
        </w:rPr>
      </w:pPr>
      <w:bookmarkStart w:id="344" w:name="_Toc9697"/>
      <w:bookmarkStart w:id="345" w:name="_Toc26988"/>
      <w:r>
        <w:rPr>
          <w:rFonts w:hint="eastAsia" w:ascii="仿宋_GB2312" w:hAnsi="仿宋_GB2312" w:eastAsia="仿宋_GB2312" w:cs="仿宋_GB2312"/>
          <w:color w:val="000000"/>
          <w:sz w:val="32"/>
          <w:szCs w:val="32"/>
        </w:rPr>
        <w:t>（2）有串通投标或弄虚作假或有其他违法行为的；</w:t>
      </w:r>
      <w:bookmarkEnd w:id="344"/>
      <w:bookmarkEnd w:id="345"/>
    </w:p>
    <w:p w14:paraId="4EEC93BE">
      <w:pPr>
        <w:pStyle w:val="26"/>
        <w:widowControl/>
        <w:spacing w:before="0" w:line="592" w:lineRule="exact"/>
        <w:ind w:firstLine="640" w:firstLineChars="200"/>
        <w:rPr>
          <w:rFonts w:ascii="仿宋_GB2312" w:hAnsi="仿宋_GB2312" w:eastAsia="仿宋_GB2312" w:cs="仿宋_GB2312"/>
          <w:color w:val="000000"/>
          <w:sz w:val="32"/>
          <w:szCs w:val="32"/>
        </w:rPr>
      </w:pPr>
      <w:bookmarkStart w:id="346" w:name="_Toc5438"/>
      <w:bookmarkStart w:id="347" w:name="_Toc10076"/>
      <w:r>
        <w:rPr>
          <w:rFonts w:hint="eastAsia" w:ascii="仿宋_GB2312" w:hAnsi="仿宋_GB2312" w:eastAsia="仿宋_GB2312" w:cs="仿宋_GB2312"/>
          <w:color w:val="000000"/>
          <w:sz w:val="32"/>
          <w:szCs w:val="32"/>
        </w:rPr>
        <w:t>（3）不按评标委员会要求澄清、说明或补正的；</w:t>
      </w:r>
      <w:bookmarkEnd w:id="346"/>
      <w:bookmarkEnd w:id="347"/>
    </w:p>
    <w:p w14:paraId="64ECAFD2">
      <w:pPr>
        <w:pStyle w:val="26"/>
        <w:widowControl/>
        <w:spacing w:before="0" w:line="592" w:lineRule="exact"/>
        <w:ind w:firstLine="640" w:firstLineChars="200"/>
        <w:rPr>
          <w:rFonts w:ascii="仿宋_GB2312" w:hAnsi="仿宋_GB2312" w:eastAsia="仿宋_GB2312" w:cs="仿宋_GB2312"/>
          <w:color w:val="000000"/>
          <w:sz w:val="32"/>
          <w:szCs w:val="32"/>
        </w:rPr>
      </w:pPr>
      <w:bookmarkStart w:id="348" w:name="_Toc7235"/>
      <w:bookmarkStart w:id="349" w:name="_Toc5182"/>
      <w:r>
        <w:rPr>
          <w:rFonts w:hint="eastAsia" w:ascii="仿宋_GB2312" w:hAnsi="仿宋_GB2312" w:eastAsia="仿宋_GB2312" w:cs="仿宋_GB2312"/>
          <w:color w:val="000000"/>
          <w:sz w:val="32"/>
          <w:szCs w:val="32"/>
        </w:rPr>
        <w:t>（4）在形式评审、资格评审、响应性评审中，评标委员会认定投标人的投标不符合评标办法前附表中规定的任何一项评审标准的；</w:t>
      </w:r>
      <w:bookmarkEnd w:id="348"/>
      <w:bookmarkEnd w:id="349"/>
    </w:p>
    <w:p w14:paraId="6721F649">
      <w:pPr>
        <w:pStyle w:val="26"/>
        <w:widowControl/>
        <w:spacing w:before="0" w:line="592" w:lineRule="exact"/>
        <w:ind w:firstLine="640" w:firstLineChars="200"/>
        <w:rPr>
          <w:rFonts w:ascii="仿宋_GB2312" w:hAnsi="仿宋_GB2312" w:eastAsia="仿宋_GB2312" w:cs="仿宋_GB2312"/>
          <w:color w:val="000000"/>
          <w:sz w:val="32"/>
          <w:szCs w:val="32"/>
        </w:rPr>
      </w:pPr>
      <w:bookmarkStart w:id="350" w:name="_Toc5194"/>
      <w:bookmarkStart w:id="351" w:name="_Toc633"/>
      <w:r>
        <w:rPr>
          <w:rFonts w:hint="eastAsia" w:ascii="仿宋_GB2312" w:hAnsi="仿宋_GB2312" w:eastAsia="仿宋_GB2312" w:cs="仿宋_GB2312"/>
          <w:color w:val="000000"/>
          <w:sz w:val="32"/>
          <w:szCs w:val="32"/>
        </w:rPr>
        <w:t>（5）在施工组织设计和项目管理机构评审中，评标委员会认定投标人的投标未能通过此项评审的；</w:t>
      </w:r>
      <w:bookmarkEnd w:id="350"/>
      <w:bookmarkEnd w:id="351"/>
    </w:p>
    <w:p w14:paraId="1CF2370C">
      <w:pPr>
        <w:pStyle w:val="26"/>
        <w:widowControl/>
        <w:spacing w:before="0" w:line="592" w:lineRule="exact"/>
        <w:ind w:firstLine="640" w:firstLineChars="200"/>
        <w:rPr>
          <w:rFonts w:ascii="仿宋_GB2312" w:hAnsi="仿宋_GB2312" w:eastAsia="仿宋_GB2312" w:cs="仿宋_GB2312"/>
          <w:color w:val="000000"/>
          <w:sz w:val="32"/>
          <w:szCs w:val="32"/>
        </w:rPr>
      </w:pPr>
      <w:bookmarkStart w:id="352" w:name="_Toc11848"/>
      <w:bookmarkStart w:id="353" w:name="_Toc20398"/>
      <w:r>
        <w:rPr>
          <w:rFonts w:hint="eastAsia" w:ascii="仿宋_GB2312" w:hAnsi="仿宋_GB2312" w:eastAsia="仿宋_GB2312" w:cs="仿宋_GB2312"/>
          <w:color w:val="000000"/>
          <w:sz w:val="32"/>
          <w:szCs w:val="32"/>
        </w:rPr>
        <w:t>（6）评标委员会认定投标人以低于成本报价竞标的；</w:t>
      </w:r>
      <w:bookmarkEnd w:id="352"/>
      <w:bookmarkEnd w:id="353"/>
    </w:p>
    <w:p w14:paraId="133689C0">
      <w:pPr>
        <w:pStyle w:val="26"/>
        <w:widowControl/>
        <w:spacing w:before="0" w:line="592" w:lineRule="exact"/>
        <w:ind w:firstLine="640" w:firstLineChars="200"/>
        <w:rPr>
          <w:rFonts w:ascii="仿宋_GB2312" w:hAnsi="仿宋_GB2312" w:eastAsia="仿宋_GB2312" w:cs="仿宋_GB2312"/>
          <w:color w:val="000000"/>
          <w:sz w:val="32"/>
          <w:szCs w:val="32"/>
        </w:rPr>
      </w:pPr>
      <w:bookmarkStart w:id="354" w:name="_Toc4823"/>
      <w:bookmarkStart w:id="355" w:name="_Toc18418"/>
      <w:r>
        <w:rPr>
          <w:rFonts w:hint="eastAsia" w:ascii="仿宋_GB2312" w:hAnsi="仿宋_GB2312" w:eastAsia="仿宋_GB2312" w:cs="仿宋_GB2312"/>
          <w:color w:val="000000"/>
          <w:sz w:val="32"/>
          <w:szCs w:val="32"/>
        </w:rPr>
        <w:t>（7）投标人未按第二章“投标人须知”第5.1款规定出席开标会的；</w:t>
      </w:r>
      <w:bookmarkEnd w:id="354"/>
      <w:bookmarkEnd w:id="355"/>
    </w:p>
    <w:p w14:paraId="2E4F3BAE">
      <w:pPr>
        <w:pStyle w:val="26"/>
        <w:widowControl/>
        <w:spacing w:before="0" w:line="592" w:lineRule="exact"/>
        <w:ind w:firstLine="640" w:firstLineChars="200"/>
        <w:rPr>
          <w:rFonts w:ascii="仿宋_GB2312" w:hAnsi="仿宋_GB2312" w:eastAsia="仿宋_GB2312" w:cs="仿宋_GB2312"/>
          <w:color w:val="000000"/>
          <w:sz w:val="32"/>
          <w:szCs w:val="32"/>
        </w:rPr>
      </w:pPr>
      <w:bookmarkStart w:id="356" w:name="_Toc12687"/>
      <w:bookmarkStart w:id="357" w:name="_Toc14946"/>
      <w:r>
        <w:rPr>
          <w:rFonts w:hint="eastAsia" w:ascii="仿宋_GB2312" w:hAnsi="仿宋_GB2312" w:eastAsia="仿宋_GB2312" w:cs="仿宋_GB2312"/>
          <w:color w:val="000000"/>
          <w:sz w:val="32"/>
          <w:szCs w:val="32"/>
        </w:rPr>
        <w:t>（8）明显不符合招标文件规定的技术要求和标准的；</w:t>
      </w:r>
      <w:bookmarkEnd w:id="356"/>
      <w:bookmarkEnd w:id="357"/>
    </w:p>
    <w:p w14:paraId="30B14D24">
      <w:pPr>
        <w:pStyle w:val="26"/>
        <w:widowControl/>
        <w:spacing w:before="0" w:line="592" w:lineRule="exact"/>
        <w:ind w:firstLine="640" w:firstLineChars="200"/>
        <w:rPr>
          <w:rFonts w:ascii="仿宋_GB2312" w:hAnsi="仿宋_GB2312" w:eastAsia="仿宋_GB2312" w:cs="仿宋_GB2312"/>
          <w:color w:val="000000"/>
          <w:sz w:val="32"/>
          <w:szCs w:val="32"/>
        </w:rPr>
      </w:pPr>
      <w:bookmarkStart w:id="358" w:name="_Toc8376"/>
      <w:bookmarkStart w:id="359" w:name="_Toc1084"/>
      <w:r>
        <w:rPr>
          <w:rFonts w:hint="eastAsia" w:ascii="仿宋_GB2312" w:hAnsi="仿宋_GB2312" w:eastAsia="仿宋_GB2312" w:cs="仿宋_GB2312"/>
          <w:color w:val="000000"/>
          <w:sz w:val="32"/>
          <w:szCs w:val="32"/>
        </w:rPr>
        <w:t>（9）投标人递交两份或多份内容不同的投标文件，或在同一投标文件中对同一招标项目报有两个或多个报价，且未声明哪个有效的；</w:t>
      </w:r>
      <w:bookmarkEnd w:id="358"/>
      <w:bookmarkEnd w:id="359"/>
    </w:p>
    <w:p w14:paraId="1CE92A22">
      <w:pPr>
        <w:pStyle w:val="26"/>
        <w:widowControl/>
        <w:spacing w:before="0" w:line="592" w:lineRule="exact"/>
        <w:ind w:firstLine="640" w:firstLineChars="200"/>
        <w:rPr>
          <w:rFonts w:ascii="仿宋_GB2312" w:hAnsi="仿宋_GB2312" w:eastAsia="仿宋_GB2312" w:cs="仿宋_GB2312"/>
          <w:color w:val="000000"/>
          <w:sz w:val="32"/>
          <w:szCs w:val="32"/>
        </w:rPr>
      </w:pPr>
      <w:bookmarkStart w:id="360" w:name="_Toc2401"/>
      <w:bookmarkStart w:id="361" w:name="_Toc246"/>
      <w:r>
        <w:rPr>
          <w:rFonts w:hint="eastAsia" w:ascii="仿宋_GB2312" w:hAnsi="仿宋_GB2312" w:eastAsia="仿宋_GB2312" w:cs="仿宋_GB2312"/>
          <w:color w:val="000000"/>
          <w:sz w:val="32"/>
          <w:szCs w:val="32"/>
        </w:rPr>
        <w:t>（10）投标文件出现招标人名称、项目名称、技术参数等与招标文件相关内容严重不一致的；</w:t>
      </w:r>
      <w:bookmarkEnd w:id="360"/>
      <w:bookmarkEnd w:id="361"/>
    </w:p>
    <w:p w14:paraId="38021BD7">
      <w:pPr>
        <w:pStyle w:val="26"/>
        <w:widowControl/>
        <w:spacing w:before="0" w:line="592" w:lineRule="exact"/>
        <w:ind w:firstLine="640" w:firstLineChars="200"/>
        <w:rPr>
          <w:rFonts w:ascii="仿宋_GB2312" w:hAnsi="仿宋_GB2312" w:eastAsia="仿宋_GB2312" w:cs="仿宋_GB2312"/>
          <w:color w:val="000000"/>
          <w:sz w:val="32"/>
          <w:szCs w:val="32"/>
        </w:rPr>
      </w:pPr>
      <w:bookmarkStart w:id="362" w:name="_Toc493"/>
      <w:bookmarkStart w:id="363" w:name="_Toc9567"/>
      <w:r>
        <w:rPr>
          <w:rFonts w:hint="eastAsia" w:ascii="仿宋_GB2312" w:hAnsi="仿宋_GB2312" w:eastAsia="仿宋_GB2312" w:cs="仿宋_GB2312"/>
          <w:color w:val="000000"/>
          <w:sz w:val="32"/>
          <w:szCs w:val="32"/>
        </w:rPr>
        <w:t>（11）不符合招标文件中规定的其他实质性要求的。</w:t>
      </w:r>
      <w:bookmarkEnd w:id="362"/>
      <w:bookmarkEnd w:id="363"/>
    </w:p>
    <w:p w14:paraId="43F2D781">
      <w:pPr>
        <w:pStyle w:val="26"/>
        <w:widowControl/>
        <w:spacing w:before="0" w:line="592" w:lineRule="exact"/>
        <w:ind w:firstLine="640" w:firstLineChars="200"/>
        <w:rPr>
          <w:rFonts w:ascii="仿宋_GB2312" w:hAnsi="仿宋_GB2312" w:eastAsia="仿宋_GB2312" w:cs="仿宋_GB2312"/>
          <w:color w:val="000000"/>
          <w:sz w:val="32"/>
          <w:szCs w:val="32"/>
        </w:rPr>
      </w:pPr>
      <w:bookmarkStart w:id="364" w:name="_Toc9811"/>
      <w:bookmarkStart w:id="365" w:name="_Toc18344"/>
      <w:r>
        <w:rPr>
          <w:rFonts w:hint="eastAsia" w:ascii="仿宋_GB2312" w:hAnsi="仿宋_GB2312" w:eastAsia="仿宋_GB2312" w:cs="仿宋_GB2312"/>
          <w:color w:val="000000"/>
          <w:sz w:val="32"/>
          <w:szCs w:val="32"/>
        </w:rPr>
        <w:t>6.3.3 有下列情形之一的，视为串通投标，评标委员会将否决其投标：</w:t>
      </w:r>
      <w:bookmarkEnd w:id="364"/>
      <w:bookmarkEnd w:id="365"/>
    </w:p>
    <w:p w14:paraId="564245E1">
      <w:pPr>
        <w:pStyle w:val="26"/>
        <w:widowControl/>
        <w:spacing w:before="0" w:line="592" w:lineRule="exact"/>
        <w:ind w:firstLine="640" w:firstLineChars="200"/>
        <w:rPr>
          <w:rFonts w:ascii="仿宋_GB2312" w:hAnsi="仿宋_GB2312" w:eastAsia="仿宋_GB2312" w:cs="仿宋_GB2312"/>
          <w:color w:val="000000"/>
          <w:sz w:val="32"/>
          <w:szCs w:val="32"/>
        </w:rPr>
      </w:pPr>
      <w:bookmarkStart w:id="366" w:name="_Toc24354"/>
      <w:bookmarkStart w:id="367" w:name="_Toc21380"/>
      <w:r>
        <w:rPr>
          <w:rFonts w:hint="eastAsia" w:ascii="仿宋_GB2312" w:hAnsi="仿宋_GB2312" w:eastAsia="仿宋_GB2312" w:cs="仿宋_GB2312"/>
          <w:color w:val="000000"/>
          <w:sz w:val="32"/>
          <w:szCs w:val="32"/>
        </w:rPr>
        <w:t>（1）不同投标人的投标文件由同一单位或者个人编制；</w:t>
      </w:r>
      <w:bookmarkEnd w:id="366"/>
      <w:bookmarkEnd w:id="367"/>
    </w:p>
    <w:p w14:paraId="477FB6A8">
      <w:pPr>
        <w:pStyle w:val="26"/>
        <w:widowControl/>
        <w:spacing w:before="0" w:line="592" w:lineRule="exact"/>
        <w:ind w:firstLine="640" w:firstLineChars="200"/>
        <w:rPr>
          <w:rFonts w:ascii="仿宋_GB2312" w:hAnsi="仿宋_GB2312" w:eastAsia="仿宋_GB2312" w:cs="仿宋_GB2312"/>
          <w:color w:val="000000"/>
          <w:sz w:val="32"/>
          <w:szCs w:val="32"/>
        </w:rPr>
      </w:pPr>
      <w:bookmarkStart w:id="368" w:name="_Toc13304"/>
      <w:bookmarkStart w:id="369" w:name="_Toc4702"/>
      <w:r>
        <w:rPr>
          <w:rFonts w:hint="eastAsia" w:ascii="仿宋_GB2312" w:hAnsi="仿宋_GB2312" w:eastAsia="仿宋_GB2312" w:cs="仿宋_GB2312"/>
          <w:color w:val="000000"/>
          <w:sz w:val="32"/>
          <w:szCs w:val="32"/>
        </w:rPr>
        <w:t>（2）不同投标人委托同一单位或者个人办理投标事宜；</w:t>
      </w:r>
      <w:bookmarkEnd w:id="368"/>
      <w:bookmarkEnd w:id="369"/>
    </w:p>
    <w:p w14:paraId="098F36C8">
      <w:pPr>
        <w:pStyle w:val="26"/>
        <w:widowControl/>
        <w:spacing w:before="0" w:line="592" w:lineRule="exact"/>
        <w:ind w:firstLine="640" w:firstLineChars="200"/>
        <w:rPr>
          <w:rFonts w:ascii="仿宋_GB2312" w:hAnsi="仿宋_GB2312" w:eastAsia="仿宋_GB2312" w:cs="仿宋_GB2312"/>
          <w:color w:val="000000"/>
          <w:sz w:val="32"/>
          <w:szCs w:val="32"/>
        </w:rPr>
      </w:pPr>
      <w:bookmarkStart w:id="370" w:name="_Toc4936"/>
      <w:bookmarkStart w:id="371" w:name="_Toc29938"/>
      <w:r>
        <w:rPr>
          <w:rFonts w:hint="eastAsia" w:ascii="仿宋_GB2312" w:hAnsi="仿宋_GB2312" w:eastAsia="仿宋_GB2312" w:cs="仿宋_GB2312"/>
          <w:color w:val="000000"/>
          <w:sz w:val="32"/>
          <w:szCs w:val="32"/>
        </w:rPr>
        <w:t>（3）不同投标人的投标文件载明的项目管理成员为同一人；</w:t>
      </w:r>
      <w:bookmarkEnd w:id="370"/>
      <w:bookmarkEnd w:id="371"/>
    </w:p>
    <w:p w14:paraId="563551C6">
      <w:pPr>
        <w:pStyle w:val="26"/>
        <w:widowControl/>
        <w:spacing w:before="0" w:line="592" w:lineRule="exact"/>
        <w:ind w:firstLine="640" w:firstLineChars="200"/>
        <w:rPr>
          <w:rFonts w:ascii="仿宋_GB2312" w:hAnsi="仿宋_GB2312" w:eastAsia="仿宋_GB2312" w:cs="仿宋_GB2312"/>
          <w:color w:val="000000"/>
          <w:sz w:val="32"/>
          <w:szCs w:val="32"/>
        </w:rPr>
      </w:pPr>
      <w:bookmarkStart w:id="372" w:name="_Toc31118"/>
      <w:bookmarkStart w:id="373" w:name="_Toc32692"/>
      <w:r>
        <w:rPr>
          <w:rFonts w:hint="eastAsia" w:ascii="仿宋_GB2312" w:hAnsi="仿宋_GB2312" w:eastAsia="仿宋_GB2312" w:cs="仿宋_GB2312"/>
          <w:color w:val="000000"/>
          <w:sz w:val="32"/>
          <w:szCs w:val="32"/>
        </w:rPr>
        <w:t>（4）不同投标人的投标文件异常一致或者投标报价呈规律性差异；</w:t>
      </w:r>
      <w:bookmarkEnd w:id="372"/>
      <w:bookmarkEnd w:id="373"/>
    </w:p>
    <w:p w14:paraId="568EFED5">
      <w:pPr>
        <w:pStyle w:val="26"/>
        <w:widowControl/>
        <w:spacing w:before="0" w:line="592" w:lineRule="exact"/>
        <w:ind w:firstLine="640" w:firstLineChars="200"/>
        <w:rPr>
          <w:rFonts w:ascii="仿宋_GB2312" w:hAnsi="仿宋_GB2312" w:eastAsia="仿宋_GB2312" w:cs="仿宋_GB2312"/>
          <w:color w:val="000000"/>
          <w:sz w:val="32"/>
          <w:szCs w:val="32"/>
        </w:rPr>
      </w:pPr>
      <w:bookmarkStart w:id="374" w:name="_Toc2176"/>
      <w:bookmarkStart w:id="375" w:name="_Toc22606"/>
      <w:r>
        <w:rPr>
          <w:rFonts w:hint="eastAsia" w:ascii="仿宋_GB2312" w:hAnsi="仿宋_GB2312" w:eastAsia="仿宋_GB2312" w:cs="仿宋_GB2312"/>
          <w:color w:val="000000"/>
          <w:sz w:val="32"/>
          <w:szCs w:val="32"/>
        </w:rPr>
        <w:t>（5）不同投标人的投标文件相互混装；</w:t>
      </w:r>
      <w:bookmarkEnd w:id="374"/>
      <w:bookmarkEnd w:id="375"/>
    </w:p>
    <w:p w14:paraId="46D30C6B">
      <w:pPr>
        <w:pStyle w:val="26"/>
        <w:widowControl/>
        <w:spacing w:before="0" w:line="592" w:lineRule="exact"/>
        <w:ind w:firstLine="640" w:firstLineChars="200"/>
        <w:rPr>
          <w:rFonts w:ascii="仿宋_GB2312" w:hAnsi="仿宋_GB2312" w:eastAsia="仿宋_GB2312" w:cs="仿宋_GB2312"/>
          <w:color w:val="000000"/>
          <w:sz w:val="32"/>
          <w:szCs w:val="32"/>
        </w:rPr>
      </w:pPr>
      <w:bookmarkStart w:id="376" w:name="_Toc32270"/>
      <w:bookmarkStart w:id="377" w:name="_Toc32585"/>
      <w:r>
        <w:rPr>
          <w:rFonts w:hint="eastAsia" w:ascii="仿宋_GB2312" w:hAnsi="仿宋_GB2312" w:eastAsia="仿宋_GB2312" w:cs="仿宋_GB2312"/>
          <w:color w:val="000000"/>
          <w:sz w:val="32"/>
          <w:szCs w:val="32"/>
        </w:rPr>
        <w:t>（6）不同投标人的投标保证金从同一单位或者个人的账户转出；</w:t>
      </w:r>
      <w:bookmarkEnd w:id="376"/>
      <w:bookmarkEnd w:id="377"/>
    </w:p>
    <w:p w14:paraId="299032F3">
      <w:pPr>
        <w:pStyle w:val="26"/>
        <w:widowControl/>
        <w:spacing w:before="0" w:line="592" w:lineRule="exact"/>
        <w:ind w:firstLine="640" w:firstLineChars="200"/>
        <w:rPr>
          <w:rFonts w:ascii="仿宋_GB2312" w:hAnsi="仿宋_GB2312" w:eastAsia="仿宋_GB2312" w:cs="仿宋_GB2312"/>
          <w:color w:val="000000"/>
          <w:sz w:val="32"/>
          <w:szCs w:val="32"/>
        </w:rPr>
      </w:pPr>
      <w:bookmarkStart w:id="378" w:name="_Toc13633"/>
      <w:bookmarkStart w:id="379" w:name="_Toc28566"/>
      <w:r>
        <w:rPr>
          <w:rFonts w:hint="eastAsia" w:ascii="仿宋_GB2312" w:hAnsi="仿宋_GB2312" w:eastAsia="仿宋_GB2312" w:cs="仿宋_GB2312"/>
          <w:color w:val="000000"/>
          <w:sz w:val="32"/>
          <w:szCs w:val="32"/>
        </w:rPr>
        <w:t>（7）不同投标人的投标文件由同一台电脑或同一电子签名认证证书编制或上传的；</w:t>
      </w:r>
      <w:bookmarkEnd w:id="378"/>
      <w:bookmarkEnd w:id="379"/>
    </w:p>
    <w:p w14:paraId="1BFF5219">
      <w:pPr>
        <w:pStyle w:val="26"/>
        <w:widowControl/>
        <w:spacing w:before="0" w:line="592" w:lineRule="exact"/>
        <w:ind w:firstLine="640" w:firstLineChars="200"/>
        <w:rPr>
          <w:rFonts w:ascii="仿宋_GB2312" w:hAnsi="仿宋_GB2312" w:eastAsia="仿宋_GB2312" w:cs="仿宋_GB2312"/>
          <w:color w:val="000000"/>
          <w:sz w:val="32"/>
          <w:szCs w:val="32"/>
        </w:rPr>
      </w:pPr>
      <w:bookmarkStart w:id="380" w:name="_Toc29908"/>
      <w:bookmarkStart w:id="381" w:name="_Toc24153"/>
      <w:r>
        <w:rPr>
          <w:rFonts w:hint="eastAsia" w:ascii="仿宋_GB2312" w:hAnsi="仿宋_GB2312" w:eastAsia="仿宋_GB2312" w:cs="仿宋_GB2312"/>
          <w:color w:val="000000"/>
          <w:sz w:val="32"/>
          <w:szCs w:val="32"/>
        </w:rPr>
        <w:t>（8）法律法规文件规定的其他情形。</w:t>
      </w:r>
      <w:bookmarkEnd w:id="380"/>
      <w:bookmarkEnd w:id="381"/>
    </w:p>
    <w:p w14:paraId="2CFD36F1">
      <w:pPr>
        <w:pStyle w:val="26"/>
        <w:widowControl/>
        <w:spacing w:before="0" w:line="592" w:lineRule="exact"/>
        <w:ind w:firstLine="640" w:firstLineChars="200"/>
        <w:rPr>
          <w:rFonts w:ascii="仿宋_GB2312" w:hAnsi="仿宋_GB2312" w:eastAsia="仿宋_GB2312" w:cs="仿宋_GB2312"/>
          <w:color w:val="000000"/>
          <w:sz w:val="32"/>
          <w:szCs w:val="32"/>
        </w:rPr>
      </w:pPr>
      <w:bookmarkStart w:id="382" w:name="_Toc17648"/>
      <w:bookmarkStart w:id="383" w:name="_Toc16472"/>
      <w:r>
        <w:rPr>
          <w:rFonts w:hint="eastAsia" w:ascii="仿宋_GB2312" w:hAnsi="仿宋_GB2312" w:eastAsia="仿宋_GB2312" w:cs="仿宋_GB2312"/>
          <w:color w:val="000000"/>
          <w:sz w:val="32"/>
          <w:szCs w:val="32"/>
        </w:rPr>
        <w:t>6.3.4 投标报价的修正</w:t>
      </w:r>
      <w:bookmarkEnd w:id="382"/>
      <w:bookmarkEnd w:id="383"/>
    </w:p>
    <w:p w14:paraId="09317553">
      <w:pPr>
        <w:pStyle w:val="26"/>
        <w:widowControl/>
        <w:spacing w:before="0" w:line="592" w:lineRule="exact"/>
        <w:ind w:firstLine="640" w:firstLineChars="200"/>
        <w:rPr>
          <w:rFonts w:ascii="仿宋_GB2312" w:hAnsi="仿宋_GB2312" w:eastAsia="仿宋_GB2312" w:cs="仿宋_GB2312"/>
          <w:color w:val="000000"/>
          <w:sz w:val="32"/>
          <w:szCs w:val="32"/>
        </w:rPr>
      </w:pPr>
      <w:bookmarkStart w:id="384" w:name="_Toc16826"/>
      <w:bookmarkStart w:id="385" w:name="_Toc29446"/>
      <w:r>
        <w:rPr>
          <w:rFonts w:hint="eastAsia" w:ascii="仿宋_GB2312" w:hAnsi="仿宋_GB2312" w:eastAsia="仿宋_GB2312" w:cs="仿宋_GB2312"/>
          <w:color w:val="000000"/>
          <w:sz w:val="32"/>
          <w:szCs w:val="32"/>
        </w:rPr>
        <w:t>投标报价有计算错误的，评标委员会按以下原则对投标报价进行修正，修正的价格经投标人书面确认后具有约束力。其具体内容为：</w:t>
      </w:r>
      <w:bookmarkEnd w:id="384"/>
      <w:bookmarkEnd w:id="385"/>
    </w:p>
    <w:p w14:paraId="496EA65A">
      <w:pPr>
        <w:pStyle w:val="26"/>
        <w:widowControl/>
        <w:spacing w:before="0" w:line="592" w:lineRule="exact"/>
        <w:ind w:firstLine="640" w:firstLineChars="200"/>
        <w:rPr>
          <w:rFonts w:ascii="仿宋_GB2312" w:hAnsi="仿宋_GB2312" w:eastAsia="仿宋_GB2312" w:cs="仿宋_GB2312"/>
          <w:color w:val="000000"/>
          <w:sz w:val="32"/>
          <w:szCs w:val="32"/>
        </w:rPr>
      </w:pPr>
      <w:bookmarkStart w:id="386" w:name="_Toc7712"/>
      <w:bookmarkStart w:id="387" w:name="_Toc16251"/>
      <w:r>
        <w:rPr>
          <w:rFonts w:hint="eastAsia" w:ascii="仿宋_GB2312" w:hAnsi="仿宋_GB2312" w:eastAsia="仿宋_GB2312" w:cs="仿宋_GB2312"/>
          <w:color w:val="000000"/>
          <w:sz w:val="32"/>
          <w:szCs w:val="32"/>
        </w:rPr>
        <w:t>（1）投标文件中大写金额和小写金额不一致的，以大写金额为准；</w:t>
      </w:r>
      <w:bookmarkEnd w:id="386"/>
      <w:bookmarkEnd w:id="387"/>
    </w:p>
    <w:p w14:paraId="34F0A330">
      <w:pPr>
        <w:pStyle w:val="26"/>
        <w:widowControl/>
        <w:spacing w:before="0" w:line="592" w:lineRule="exact"/>
        <w:ind w:firstLine="640" w:firstLineChars="200"/>
        <w:rPr>
          <w:rFonts w:ascii="仿宋_GB2312" w:hAnsi="仿宋_GB2312" w:eastAsia="仿宋_GB2312" w:cs="仿宋_GB2312"/>
          <w:color w:val="000000"/>
          <w:sz w:val="32"/>
          <w:szCs w:val="32"/>
        </w:rPr>
      </w:pPr>
      <w:bookmarkStart w:id="388" w:name="_Toc16"/>
      <w:bookmarkStart w:id="389" w:name="_Toc9038"/>
      <w:r>
        <w:rPr>
          <w:rFonts w:hint="eastAsia" w:ascii="仿宋_GB2312" w:hAnsi="仿宋_GB2312" w:eastAsia="仿宋_GB2312" w:cs="仿宋_GB2312"/>
          <w:color w:val="000000"/>
          <w:sz w:val="32"/>
          <w:szCs w:val="32"/>
        </w:rPr>
        <w:t>（2）投标文件中填报的投标报价、工期、工程质量标准等内容前后不一致时，以投标函填报的为准。</w:t>
      </w:r>
      <w:bookmarkEnd w:id="388"/>
      <w:bookmarkEnd w:id="389"/>
    </w:p>
    <w:p w14:paraId="0EB12FC6">
      <w:pPr>
        <w:pStyle w:val="26"/>
        <w:widowControl/>
        <w:spacing w:before="0" w:line="592" w:lineRule="exact"/>
        <w:ind w:firstLine="640" w:firstLineChars="200"/>
        <w:rPr>
          <w:rFonts w:ascii="仿宋_GB2312" w:hAnsi="仿宋_GB2312" w:eastAsia="仿宋_GB2312" w:cs="仿宋_GB2312"/>
          <w:color w:val="000000"/>
          <w:sz w:val="32"/>
          <w:szCs w:val="32"/>
        </w:rPr>
      </w:pPr>
      <w:bookmarkStart w:id="390" w:name="_Toc19600"/>
      <w:bookmarkStart w:id="391" w:name="_Toc4642"/>
      <w:r>
        <w:rPr>
          <w:rFonts w:hint="eastAsia" w:ascii="仿宋_GB2312" w:hAnsi="仿宋_GB2312" w:eastAsia="仿宋_GB2312" w:cs="仿宋_GB2312"/>
          <w:color w:val="000000"/>
          <w:sz w:val="32"/>
          <w:szCs w:val="32"/>
        </w:rPr>
        <w:t>（3）若投标文件出现偏差，投标人应按上述修正原则进行修正，投标人法定代表人或法定代表人的委托代理人须现场书面确认。</w:t>
      </w:r>
      <w:bookmarkEnd w:id="390"/>
      <w:bookmarkEnd w:id="391"/>
    </w:p>
    <w:p w14:paraId="3E826F69">
      <w:pPr>
        <w:pStyle w:val="26"/>
        <w:widowControl/>
        <w:spacing w:before="0" w:line="592" w:lineRule="exact"/>
        <w:ind w:firstLine="640" w:firstLineChars="200"/>
        <w:rPr>
          <w:rFonts w:ascii="仿宋_GB2312" w:hAnsi="仿宋_GB2312" w:eastAsia="仿宋_GB2312" w:cs="仿宋_GB2312"/>
          <w:color w:val="000000"/>
          <w:sz w:val="32"/>
          <w:szCs w:val="32"/>
        </w:rPr>
      </w:pPr>
      <w:bookmarkStart w:id="392" w:name="_Toc20119"/>
      <w:bookmarkStart w:id="393" w:name="_Toc20335"/>
      <w:r>
        <w:rPr>
          <w:rFonts w:hint="eastAsia" w:ascii="仿宋_GB2312" w:hAnsi="仿宋_GB2312" w:eastAsia="仿宋_GB2312" w:cs="仿宋_GB2312"/>
          <w:color w:val="000000"/>
          <w:sz w:val="32"/>
          <w:szCs w:val="32"/>
        </w:rPr>
        <w:t>投标人的投标报价存在算术性计算错误的，评标委员会将否决其投标。</w:t>
      </w:r>
      <w:bookmarkEnd w:id="392"/>
      <w:bookmarkEnd w:id="393"/>
    </w:p>
    <w:p w14:paraId="2CF8D6A1">
      <w:pPr>
        <w:pStyle w:val="26"/>
        <w:widowControl/>
        <w:spacing w:before="0" w:line="592" w:lineRule="exact"/>
        <w:ind w:firstLine="640" w:firstLineChars="200"/>
        <w:rPr>
          <w:rFonts w:ascii="仿宋_GB2312" w:hAnsi="仿宋_GB2312" w:eastAsia="仿宋_GB2312" w:cs="仿宋_GB2312"/>
          <w:color w:val="000000"/>
          <w:sz w:val="32"/>
          <w:szCs w:val="32"/>
        </w:rPr>
      </w:pPr>
      <w:bookmarkStart w:id="394" w:name="_Toc12335"/>
      <w:bookmarkStart w:id="395" w:name="_Toc5776"/>
      <w:r>
        <w:rPr>
          <w:rFonts w:hint="eastAsia" w:ascii="仿宋_GB2312" w:hAnsi="仿宋_GB2312" w:eastAsia="仿宋_GB2312" w:cs="仿宋_GB2312"/>
          <w:color w:val="000000"/>
          <w:sz w:val="32"/>
          <w:szCs w:val="32"/>
        </w:rPr>
        <w:t>6.3.5 投标文件的澄清、说明或补正</w:t>
      </w:r>
      <w:bookmarkEnd w:id="394"/>
      <w:bookmarkEnd w:id="395"/>
    </w:p>
    <w:p w14:paraId="614E9CE7">
      <w:pPr>
        <w:pStyle w:val="26"/>
        <w:widowControl/>
        <w:spacing w:before="0" w:line="592" w:lineRule="exact"/>
        <w:ind w:firstLine="640" w:firstLineChars="200"/>
        <w:rPr>
          <w:rFonts w:ascii="仿宋_GB2312" w:hAnsi="仿宋_GB2312" w:eastAsia="仿宋_GB2312" w:cs="仿宋_GB2312"/>
          <w:color w:val="000000"/>
          <w:sz w:val="32"/>
          <w:szCs w:val="32"/>
        </w:rPr>
      </w:pPr>
      <w:bookmarkStart w:id="396" w:name="_Toc10858"/>
      <w:bookmarkStart w:id="397" w:name="_Toc15911"/>
      <w:r>
        <w:rPr>
          <w:rFonts w:hint="eastAsia" w:ascii="仿宋_GB2312" w:hAnsi="仿宋_GB2312" w:eastAsia="仿宋_GB2312" w:cs="仿宋_GB2312"/>
          <w:color w:val="000000"/>
          <w:sz w:val="32"/>
          <w:szCs w:val="32"/>
        </w:rPr>
        <w:t>（1）在评标过程中，评标委员会可以书面形式要求投标人对所提交投标文件中不明确的内容进行书面澄清或说明，或者对细微偏差进行补正。评标委员会不接受投标人主动提出的澄清、说明或补正。</w:t>
      </w:r>
      <w:bookmarkEnd w:id="396"/>
      <w:bookmarkEnd w:id="397"/>
    </w:p>
    <w:p w14:paraId="1FE62F86">
      <w:pPr>
        <w:pStyle w:val="26"/>
        <w:widowControl/>
        <w:spacing w:before="0" w:line="592" w:lineRule="exact"/>
        <w:ind w:firstLine="640" w:firstLineChars="200"/>
        <w:rPr>
          <w:rFonts w:ascii="仿宋_GB2312" w:hAnsi="仿宋_GB2312" w:eastAsia="仿宋_GB2312" w:cs="仿宋_GB2312"/>
          <w:color w:val="000000"/>
          <w:sz w:val="32"/>
          <w:szCs w:val="32"/>
        </w:rPr>
      </w:pPr>
      <w:bookmarkStart w:id="398" w:name="_Toc29431"/>
      <w:bookmarkStart w:id="399" w:name="_Toc19399"/>
      <w:r>
        <w:rPr>
          <w:rFonts w:hint="eastAsia" w:ascii="仿宋_GB2312" w:hAnsi="仿宋_GB2312" w:eastAsia="仿宋_GB2312" w:cs="仿宋_GB2312"/>
          <w:color w:val="000000"/>
          <w:sz w:val="32"/>
          <w:szCs w:val="32"/>
        </w:rPr>
        <w:t>（2）澄清、说明或补正不得改变投标文件的实质性内容（算术性错误修正的除外）。投标人的书面澄清、说明或补正属于投标文件的组成部分。</w:t>
      </w:r>
      <w:bookmarkEnd w:id="398"/>
      <w:bookmarkEnd w:id="399"/>
    </w:p>
    <w:p w14:paraId="5CB9E6D8">
      <w:pPr>
        <w:pStyle w:val="26"/>
        <w:widowControl/>
        <w:spacing w:before="0" w:line="592" w:lineRule="exact"/>
        <w:ind w:firstLine="640" w:firstLineChars="200"/>
        <w:rPr>
          <w:rFonts w:ascii="仿宋_GB2312" w:hAnsi="仿宋_GB2312" w:eastAsia="仿宋_GB2312" w:cs="仿宋_GB2312"/>
          <w:color w:val="000000"/>
          <w:sz w:val="32"/>
          <w:szCs w:val="32"/>
        </w:rPr>
      </w:pPr>
      <w:bookmarkStart w:id="400" w:name="_Toc19692"/>
      <w:bookmarkStart w:id="401" w:name="_Toc3462"/>
      <w:r>
        <w:rPr>
          <w:rFonts w:hint="eastAsia" w:ascii="仿宋_GB2312" w:hAnsi="仿宋_GB2312" w:eastAsia="仿宋_GB2312" w:cs="仿宋_GB2312"/>
          <w:color w:val="000000"/>
          <w:sz w:val="32"/>
          <w:szCs w:val="32"/>
        </w:rPr>
        <w:t>（3）评标委员会对投标人提交的澄清、说明或补正有疑问的，可以要求投标人进一步澄清、说明或补正，直至满足评标委员会的要求。</w:t>
      </w:r>
      <w:bookmarkEnd w:id="400"/>
      <w:bookmarkEnd w:id="401"/>
    </w:p>
    <w:p w14:paraId="62D9CB07">
      <w:pPr>
        <w:pStyle w:val="26"/>
        <w:widowControl/>
        <w:spacing w:before="0" w:line="592" w:lineRule="exact"/>
        <w:ind w:firstLine="640" w:firstLineChars="200"/>
        <w:rPr>
          <w:rFonts w:ascii="仿宋_GB2312" w:hAnsi="仿宋_GB2312" w:eastAsia="仿宋_GB2312" w:cs="仿宋_GB2312"/>
          <w:color w:val="000000"/>
          <w:sz w:val="32"/>
          <w:szCs w:val="32"/>
        </w:rPr>
      </w:pPr>
      <w:bookmarkStart w:id="402" w:name="_Toc21348"/>
      <w:bookmarkStart w:id="403" w:name="_Toc26081"/>
      <w:r>
        <w:rPr>
          <w:rFonts w:hint="eastAsia" w:ascii="仿宋_GB2312" w:hAnsi="仿宋_GB2312" w:eastAsia="仿宋_GB2312" w:cs="仿宋_GB2312"/>
          <w:color w:val="000000"/>
          <w:sz w:val="32"/>
          <w:szCs w:val="32"/>
        </w:rPr>
        <w:t>（4）在评标过程中，评标委员会发现投标人的报价可能低于其个别成本的，应当要求该投标人作出书面说明并提供相关证明材料。投标人不能合理说明或者不能提供相关证明材料的，由评标委员会认定该投标人以低于成本报价竞标，应当否决其投标。评标委员会认定意见不一致时，采用投票表决方式认定。</w:t>
      </w:r>
      <w:bookmarkEnd w:id="402"/>
      <w:bookmarkEnd w:id="403"/>
    </w:p>
    <w:p w14:paraId="584EAE39">
      <w:pPr>
        <w:pStyle w:val="26"/>
        <w:widowControl/>
        <w:spacing w:before="0" w:line="592" w:lineRule="exact"/>
        <w:ind w:firstLine="640" w:firstLineChars="200"/>
        <w:rPr>
          <w:rFonts w:ascii="仿宋_GB2312" w:hAnsi="仿宋_GB2312" w:eastAsia="仿宋_GB2312" w:cs="仿宋_GB2312"/>
          <w:color w:val="000000"/>
          <w:sz w:val="32"/>
          <w:szCs w:val="32"/>
        </w:rPr>
      </w:pPr>
      <w:bookmarkStart w:id="404" w:name="_Toc10904"/>
      <w:bookmarkStart w:id="405" w:name="_Toc13956"/>
      <w:r>
        <w:rPr>
          <w:rFonts w:hint="eastAsia" w:ascii="仿宋_GB2312" w:hAnsi="仿宋_GB2312" w:eastAsia="仿宋_GB2312" w:cs="仿宋_GB2312"/>
          <w:color w:val="000000"/>
          <w:sz w:val="32"/>
          <w:szCs w:val="32"/>
        </w:rPr>
        <w:t>（5）不按评标委员会要求澄清、说明或补正的，评标委员会将否决其投标。</w:t>
      </w:r>
      <w:bookmarkEnd w:id="404"/>
      <w:bookmarkEnd w:id="405"/>
    </w:p>
    <w:p w14:paraId="5D7EA303">
      <w:pPr>
        <w:pStyle w:val="26"/>
        <w:widowControl/>
        <w:spacing w:before="0" w:line="592" w:lineRule="exact"/>
        <w:ind w:firstLine="640" w:firstLineChars="200"/>
        <w:rPr>
          <w:rFonts w:ascii="仿宋_GB2312" w:hAnsi="仿宋_GB2312" w:eastAsia="仿宋_GB2312" w:cs="仿宋_GB2312"/>
          <w:color w:val="000000"/>
          <w:sz w:val="32"/>
          <w:szCs w:val="32"/>
        </w:rPr>
      </w:pPr>
      <w:bookmarkStart w:id="406" w:name="_Toc11844"/>
      <w:bookmarkStart w:id="407" w:name="_Toc24578"/>
      <w:r>
        <w:rPr>
          <w:rFonts w:hint="eastAsia" w:ascii="仿宋_GB2312" w:hAnsi="仿宋_GB2312" w:eastAsia="仿宋_GB2312" w:cs="仿宋_GB2312"/>
          <w:color w:val="000000"/>
          <w:sz w:val="32"/>
          <w:szCs w:val="32"/>
        </w:rPr>
        <w:t>6.3.6 经初步评审，评标委员会认定投标人的投标不合格、被否决、认定为废标的投标不再进入详细评审阶段。</w:t>
      </w:r>
      <w:bookmarkEnd w:id="406"/>
      <w:bookmarkEnd w:id="407"/>
    </w:p>
    <w:p w14:paraId="5E408FEA">
      <w:pPr>
        <w:pStyle w:val="26"/>
        <w:widowControl/>
        <w:spacing w:before="0" w:line="592" w:lineRule="exact"/>
        <w:ind w:firstLine="640" w:firstLineChars="200"/>
        <w:rPr>
          <w:rFonts w:ascii="仿宋_GB2312" w:hAnsi="仿宋_GB2312" w:eastAsia="仿宋_GB2312" w:cs="仿宋_GB2312"/>
          <w:color w:val="000000"/>
          <w:sz w:val="32"/>
          <w:szCs w:val="32"/>
        </w:rPr>
      </w:pPr>
      <w:bookmarkStart w:id="408" w:name="_Toc1921"/>
      <w:bookmarkStart w:id="409" w:name="_Toc15448"/>
      <w:r>
        <w:rPr>
          <w:rFonts w:hint="eastAsia" w:ascii="仿宋_GB2312" w:hAnsi="仿宋_GB2312" w:eastAsia="仿宋_GB2312" w:cs="仿宋_GB2312"/>
          <w:color w:val="000000"/>
          <w:sz w:val="32"/>
          <w:szCs w:val="32"/>
        </w:rPr>
        <w:t>6.3.7 在符合性审查和商务评议时，如发现下列情形之一的，投标文件将被视为无效投标：</w:t>
      </w:r>
      <w:bookmarkEnd w:id="408"/>
      <w:bookmarkEnd w:id="409"/>
    </w:p>
    <w:p w14:paraId="6DDDFE70">
      <w:pPr>
        <w:pStyle w:val="26"/>
        <w:widowControl/>
        <w:spacing w:before="0" w:line="592" w:lineRule="exact"/>
        <w:ind w:firstLine="640" w:firstLineChars="200"/>
        <w:rPr>
          <w:rFonts w:ascii="仿宋_GB2312" w:hAnsi="仿宋_GB2312" w:eastAsia="仿宋_GB2312" w:cs="仿宋_GB2312"/>
          <w:color w:val="000000"/>
          <w:sz w:val="32"/>
          <w:szCs w:val="32"/>
        </w:rPr>
      </w:pPr>
      <w:bookmarkStart w:id="410" w:name="_Toc26631"/>
      <w:bookmarkStart w:id="411" w:name="_Toc652"/>
      <w:r>
        <w:rPr>
          <w:rFonts w:hint="eastAsia" w:ascii="仿宋_GB2312" w:hAnsi="仿宋_GB2312" w:eastAsia="仿宋_GB2312" w:cs="仿宋_GB2312"/>
          <w:color w:val="000000"/>
          <w:sz w:val="32"/>
          <w:szCs w:val="32"/>
        </w:rPr>
        <w:t>6.3.7.1未按规定交纳标书费的；</w:t>
      </w:r>
      <w:bookmarkEnd w:id="410"/>
      <w:bookmarkEnd w:id="411"/>
    </w:p>
    <w:p w14:paraId="7877073E">
      <w:pPr>
        <w:pStyle w:val="26"/>
        <w:widowControl/>
        <w:spacing w:before="0" w:line="592" w:lineRule="exact"/>
        <w:ind w:firstLine="640" w:firstLineChars="200"/>
        <w:rPr>
          <w:rFonts w:ascii="仿宋_GB2312" w:hAnsi="仿宋_GB2312" w:eastAsia="仿宋_GB2312" w:cs="仿宋_GB2312"/>
          <w:color w:val="000000"/>
          <w:sz w:val="32"/>
          <w:szCs w:val="32"/>
        </w:rPr>
      </w:pPr>
      <w:bookmarkStart w:id="412" w:name="_Toc16293"/>
      <w:bookmarkStart w:id="413" w:name="_Toc25737"/>
      <w:r>
        <w:rPr>
          <w:rFonts w:hint="eastAsia" w:ascii="仿宋_GB2312" w:hAnsi="仿宋_GB2312" w:eastAsia="仿宋_GB2312" w:cs="仿宋_GB2312"/>
          <w:color w:val="000000"/>
          <w:sz w:val="32"/>
          <w:szCs w:val="32"/>
        </w:rPr>
        <w:t>6.3.7.2超过投标截止时间送达的或未按规定地点送达的;</w:t>
      </w:r>
      <w:bookmarkEnd w:id="412"/>
      <w:bookmarkEnd w:id="413"/>
    </w:p>
    <w:p w14:paraId="095DDFC5">
      <w:pPr>
        <w:pStyle w:val="26"/>
        <w:widowControl/>
        <w:spacing w:before="0" w:line="592" w:lineRule="exact"/>
        <w:ind w:firstLine="640" w:firstLineChars="200"/>
        <w:rPr>
          <w:rFonts w:ascii="仿宋_GB2312" w:hAnsi="仿宋_GB2312" w:eastAsia="仿宋_GB2312" w:cs="仿宋_GB2312"/>
          <w:color w:val="000000"/>
          <w:sz w:val="32"/>
          <w:szCs w:val="32"/>
        </w:rPr>
      </w:pPr>
      <w:bookmarkStart w:id="414" w:name="_Toc3625"/>
      <w:bookmarkStart w:id="415" w:name="_Toc21370"/>
      <w:r>
        <w:rPr>
          <w:rFonts w:hint="eastAsia" w:ascii="仿宋_GB2312" w:hAnsi="仿宋_GB2312" w:eastAsia="仿宋_GB2312" w:cs="仿宋_GB2312"/>
          <w:color w:val="000000"/>
          <w:sz w:val="32"/>
          <w:szCs w:val="32"/>
        </w:rPr>
        <w:t>6.3.7.3未按规定密封、签章的；</w:t>
      </w:r>
      <w:bookmarkEnd w:id="414"/>
      <w:bookmarkEnd w:id="415"/>
    </w:p>
    <w:p w14:paraId="715E40FC">
      <w:pPr>
        <w:pStyle w:val="26"/>
        <w:widowControl/>
        <w:spacing w:before="0" w:line="592" w:lineRule="exact"/>
        <w:ind w:firstLine="640" w:firstLineChars="200"/>
        <w:rPr>
          <w:rFonts w:ascii="仿宋_GB2312" w:hAnsi="仿宋_GB2312" w:eastAsia="仿宋_GB2312" w:cs="仿宋_GB2312"/>
          <w:color w:val="000000"/>
          <w:sz w:val="32"/>
          <w:szCs w:val="32"/>
        </w:rPr>
      </w:pPr>
      <w:bookmarkStart w:id="416" w:name="_Toc1969"/>
      <w:bookmarkStart w:id="417" w:name="_Toc2013"/>
      <w:r>
        <w:rPr>
          <w:rFonts w:hint="eastAsia" w:ascii="仿宋_GB2312" w:hAnsi="仿宋_GB2312" w:eastAsia="仿宋_GB2312" w:cs="仿宋_GB2312"/>
          <w:color w:val="000000"/>
          <w:sz w:val="32"/>
          <w:szCs w:val="32"/>
        </w:rPr>
        <w:t>6.3.7.4超出经营范围投标的；</w:t>
      </w:r>
      <w:bookmarkEnd w:id="416"/>
      <w:bookmarkEnd w:id="417"/>
    </w:p>
    <w:p w14:paraId="47EFFB22">
      <w:pPr>
        <w:pStyle w:val="26"/>
        <w:widowControl/>
        <w:spacing w:before="0" w:line="592" w:lineRule="exact"/>
        <w:ind w:firstLine="640" w:firstLineChars="200"/>
        <w:rPr>
          <w:rFonts w:ascii="仿宋_GB2312" w:hAnsi="仿宋_GB2312" w:eastAsia="仿宋_GB2312" w:cs="仿宋_GB2312"/>
          <w:color w:val="000000"/>
          <w:sz w:val="32"/>
          <w:szCs w:val="32"/>
        </w:rPr>
      </w:pPr>
      <w:bookmarkStart w:id="418" w:name="_Toc6973"/>
      <w:bookmarkStart w:id="419" w:name="_Toc18509"/>
      <w:r>
        <w:rPr>
          <w:rFonts w:hint="eastAsia" w:ascii="仿宋_GB2312" w:hAnsi="仿宋_GB2312" w:eastAsia="仿宋_GB2312" w:cs="仿宋_GB2312"/>
          <w:color w:val="000000"/>
          <w:sz w:val="32"/>
          <w:szCs w:val="32"/>
        </w:rPr>
        <w:t>6.3.7.5资格证明文件不全的，或者不符合招标文件标明的资格要求的；</w:t>
      </w:r>
      <w:bookmarkEnd w:id="418"/>
      <w:bookmarkEnd w:id="419"/>
    </w:p>
    <w:p w14:paraId="5C821D4B">
      <w:pPr>
        <w:pStyle w:val="26"/>
        <w:widowControl/>
        <w:spacing w:before="0" w:line="592" w:lineRule="exact"/>
        <w:ind w:firstLine="640" w:firstLineChars="200"/>
        <w:rPr>
          <w:rFonts w:ascii="仿宋_GB2312" w:hAnsi="仿宋_GB2312" w:eastAsia="仿宋_GB2312" w:cs="仿宋_GB2312"/>
          <w:color w:val="000000"/>
          <w:sz w:val="32"/>
          <w:szCs w:val="32"/>
        </w:rPr>
      </w:pPr>
      <w:bookmarkStart w:id="420" w:name="_Toc3470"/>
      <w:bookmarkStart w:id="421" w:name="_Toc3825"/>
      <w:r>
        <w:rPr>
          <w:rFonts w:hint="eastAsia" w:ascii="仿宋_GB2312" w:hAnsi="仿宋_GB2312" w:eastAsia="仿宋_GB2312" w:cs="仿宋_GB2312"/>
          <w:color w:val="000000"/>
          <w:sz w:val="32"/>
          <w:szCs w:val="32"/>
        </w:rPr>
        <w:t>6.3.7.6投标文件无法定代表人签字,或未提供法定代表人授权委托书、投标声明书或者填写项目不齐全的；</w:t>
      </w:r>
      <w:bookmarkEnd w:id="420"/>
      <w:bookmarkEnd w:id="421"/>
    </w:p>
    <w:p w14:paraId="06AAAD34">
      <w:pPr>
        <w:pStyle w:val="26"/>
        <w:widowControl/>
        <w:spacing w:before="0" w:line="592" w:lineRule="exact"/>
        <w:ind w:firstLine="640" w:firstLineChars="200"/>
        <w:rPr>
          <w:rFonts w:ascii="仿宋_GB2312" w:hAnsi="仿宋_GB2312" w:eastAsia="仿宋_GB2312" w:cs="仿宋_GB2312"/>
          <w:color w:val="000000"/>
          <w:sz w:val="32"/>
          <w:szCs w:val="32"/>
        </w:rPr>
      </w:pPr>
      <w:bookmarkStart w:id="422" w:name="_Toc11271"/>
      <w:bookmarkStart w:id="423" w:name="_Toc15487"/>
      <w:r>
        <w:rPr>
          <w:rFonts w:hint="eastAsia" w:ascii="仿宋_GB2312" w:hAnsi="仿宋_GB2312" w:eastAsia="仿宋_GB2312" w:cs="仿宋_GB2312"/>
          <w:color w:val="000000"/>
          <w:sz w:val="32"/>
          <w:szCs w:val="32"/>
        </w:rPr>
        <w:t>6.3.7.7投标代表人未能出具身份证明或与法定代表人授权委托人身份不符的；</w:t>
      </w:r>
      <w:bookmarkEnd w:id="422"/>
      <w:bookmarkEnd w:id="423"/>
      <w:r>
        <w:rPr>
          <w:rFonts w:hint="eastAsia" w:ascii="仿宋_GB2312" w:hAnsi="仿宋_GB2312" w:eastAsia="仿宋_GB2312" w:cs="仿宋_GB2312"/>
          <w:color w:val="000000"/>
          <w:sz w:val="32"/>
          <w:szCs w:val="32"/>
        </w:rPr>
        <w:t xml:space="preserve"> </w:t>
      </w:r>
    </w:p>
    <w:p w14:paraId="5CC34708">
      <w:pPr>
        <w:pStyle w:val="26"/>
        <w:widowControl/>
        <w:spacing w:before="0" w:line="592" w:lineRule="exact"/>
        <w:ind w:firstLine="640" w:firstLineChars="200"/>
        <w:rPr>
          <w:rFonts w:ascii="仿宋_GB2312" w:hAnsi="仿宋_GB2312" w:eastAsia="仿宋_GB2312" w:cs="仿宋_GB2312"/>
          <w:color w:val="000000"/>
          <w:sz w:val="32"/>
          <w:szCs w:val="32"/>
        </w:rPr>
      </w:pPr>
      <w:bookmarkStart w:id="424" w:name="_Toc10016"/>
      <w:bookmarkStart w:id="425" w:name="_Toc14273"/>
      <w:r>
        <w:rPr>
          <w:rFonts w:hint="eastAsia" w:ascii="仿宋_GB2312" w:hAnsi="仿宋_GB2312" w:eastAsia="仿宋_GB2312" w:cs="仿宋_GB2312"/>
          <w:color w:val="000000"/>
          <w:sz w:val="32"/>
          <w:szCs w:val="32"/>
        </w:rPr>
        <w:t>6.3.7.8投标文件格式不规范、项目不齐全或者内容虚假的；</w:t>
      </w:r>
      <w:bookmarkEnd w:id="424"/>
      <w:bookmarkEnd w:id="425"/>
    </w:p>
    <w:p w14:paraId="4A88DF03">
      <w:pPr>
        <w:pStyle w:val="26"/>
        <w:widowControl/>
        <w:spacing w:before="0" w:line="592" w:lineRule="exact"/>
        <w:ind w:firstLine="640" w:firstLineChars="200"/>
        <w:rPr>
          <w:rFonts w:ascii="仿宋_GB2312" w:hAnsi="仿宋_GB2312" w:eastAsia="仿宋_GB2312" w:cs="仿宋_GB2312"/>
          <w:color w:val="000000"/>
          <w:sz w:val="32"/>
          <w:szCs w:val="32"/>
        </w:rPr>
      </w:pPr>
      <w:bookmarkStart w:id="426" w:name="_Toc24873"/>
      <w:bookmarkStart w:id="427" w:name="_Toc19960"/>
      <w:r>
        <w:rPr>
          <w:rFonts w:hint="eastAsia" w:ascii="仿宋_GB2312" w:hAnsi="仿宋_GB2312" w:eastAsia="仿宋_GB2312" w:cs="仿宋_GB2312"/>
          <w:color w:val="000000"/>
          <w:sz w:val="32"/>
          <w:szCs w:val="32"/>
        </w:rPr>
        <w:t>6.3.7.9投标文件的实质性内容未使用中文表述、意思表述不明确、前后矛盾或者使用计量单位不符合招标文件要求的（经评标委会认定允许其当场更正的笔误除外）</w:t>
      </w:r>
      <w:bookmarkEnd w:id="426"/>
      <w:bookmarkEnd w:id="427"/>
    </w:p>
    <w:p w14:paraId="7FE05F83">
      <w:pPr>
        <w:pStyle w:val="26"/>
        <w:widowControl/>
        <w:spacing w:before="0" w:line="592" w:lineRule="exact"/>
        <w:ind w:firstLine="640" w:firstLineChars="200"/>
        <w:rPr>
          <w:rFonts w:ascii="仿宋_GB2312" w:hAnsi="仿宋_GB2312" w:eastAsia="仿宋_GB2312" w:cs="仿宋_GB2312"/>
          <w:color w:val="000000"/>
          <w:sz w:val="32"/>
          <w:szCs w:val="32"/>
        </w:rPr>
      </w:pPr>
      <w:bookmarkStart w:id="428" w:name="_Toc14615"/>
      <w:bookmarkStart w:id="429" w:name="_Toc9082"/>
      <w:r>
        <w:rPr>
          <w:rFonts w:hint="eastAsia" w:ascii="仿宋_GB2312" w:hAnsi="仿宋_GB2312" w:eastAsia="仿宋_GB2312" w:cs="仿宋_GB2312"/>
          <w:color w:val="000000"/>
          <w:sz w:val="32"/>
          <w:szCs w:val="32"/>
        </w:rPr>
        <w:t>6.3.7.10投标文件的关键内容字迹模糊、无法辨认的,或者投标文件中经修正的内容字迹模糊难以辩认或者修改处未按规定签盖章的；</w:t>
      </w:r>
      <w:bookmarkEnd w:id="428"/>
      <w:bookmarkEnd w:id="429"/>
      <w:r>
        <w:rPr>
          <w:rFonts w:hint="eastAsia" w:ascii="仿宋_GB2312" w:hAnsi="仿宋_GB2312" w:eastAsia="仿宋_GB2312" w:cs="仿宋_GB2312"/>
          <w:color w:val="000000"/>
          <w:sz w:val="32"/>
          <w:szCs w:val="32"/>
        </w:rPr>
        <w:t xml:space="preserve"> </w:t>
      </w:r>
    </w:p>
    <w:p w14:paraId="5DBD143B">
      <w:pPr>
        <w:pStyle w:val="26"/>
        <w:widowControl/>
        <w:spacing w:before="0" w:line="592" w:lineRule="exact"/>
        <w:ind w:firstLine="640" w:firstLineChars="200"/>
        <w:rPr>
          <w:rFonts w:ascii="仿宋_GB2312" w:hAnsi="仿宋_GB2312" w:eastAsia="仿宋_GB2312" w:cs="仿宋_GB2312"/>
          <w:color w:val="000000"/>
          <w:sz w:val="32"/>
          <w:szCs w:val="32"/>
        </w:rPr>
      </w:pPr>
      <w:bookmarkStart w:id="430" w:name="_Toc970"/>
      <w:bookmarkStart w:id="431" w:name="_Toc19846"/>
      <w:r>
        <w:rPr>
          <w:rFonts w:hint="eastAsia" w:ascii="仿宋_GB2312" w:hAnsi="仿宋_GB2312" w:eastAsia="仿宋_GB2312" w:cs="仿宋_GB2312"/>
          <w:color w:val="000000"/>
          <w:sz w:val="32"/>
          <w:szCs w:val="32"/>
        </w:rPr>
        <w:t>6.3.7.11投标文件正、副本实质性内容不一致的；</w:t>
      </w:r>
      <w:bookmarkEnd w:id="430"/>
      <w:bookmarkEnd w:id="431"/>
    </w:p>
    <w:p w14:paraId="39BE0E26">
      <w:pPr>
        <w:pStyle w:val="26"/>
        <w:widowControl/>
        <w:spacing w:before="0" w:line="592" w:lineRule="exact"/>
        <w:ind w:firstLine="640" w:firstLineChars="200"/>
        <w:rPr>
          <w:rFonts w:ascii="仿宋_GB2312" w:hAnsi="仿宋_GB2312" w:eastAsia="仿宋_GB2312" w:cs="仿宋_GB2312"/>
          <w:color w:val="000000"/>
          <w:sz w:val="32"/>
          <w:szCs w:val="32"/>
        </w:rPr>
      </w:pPr>
      <w:bookmarkStart w:id="432" w:name="_Toc22729"/>
      <w:bookmarkStart w:id="433" w:name="_Toc32624"/>
      <w:r>
        <w:rPr>
          <w:rFonts w:hint="eastAsia" w:ascii="仿宋_GB2312" w:hAnsi="仿宋_GB2312" w:eastAsia="仿宋_GB2312" w:cs="仿宋_GB2312"/>
          <w:color w:val="000000"/>
          <w:sz w:val="32"/>
          <w:szCs w:val="32"/>
        </w:rPr>
        <w:t>6.3.7.12投标有效期、工期、质保期等不能满足招标文件要求的；</w:t>
      </w:r>
      <w:bookmarkEnd w:id="432"/>
      <w:bookmarkEnd w:id="433"/>
    </w:p>
    <w:p w14:paraId="4B31A52A">
      <w:pPr>
        <w:pStyle w:val="26"/>
        <w:widowControl/>
        <w:spacing w:before="0" w:line="592" w:lineRule="exact"/>
        <w:ind w:firstLine="640" w:firstLineChars="200"/>
        <w:rPr>
          <w:rFonts w:ascii="仿宋_GB2312" w:hAnsi="仿宋_GB2312" w:eastAsia="仿宋_GB2312" w:cs="仿宋_GB2312"/>
          <w:color w:val="000000"/>
          <w:sz w:val="32"/>
          <w:szCs w:val="32"/>
        </w:rPr>
      </w:pPr>
      <w:bookmarkStart w:id="434" w:name="_Toc16304"/>
      <w:bookmarkStart w:id="435" w:name="_Toc29273"/>
      <w:r>
        <w:rPr>
          <w:rFonts w:hint="eastAsia" w:ascii="仿宋_GB2312" w:hAnsi="仿宋_GB2312" w:eastAsia="仿宋_GB2312" w:cs="仿宋_GB2312"/>
          <w:color w:val="000000"/>
          <w:sz w:val="32"/>
          <w:szCs w:val="32"/>
        </w:rPr>
        <w:t>6.3.7.13不响应或者擅自改变招标文件要求或者投标文件有招标方不能接受的附加条件的；</w:t>
      </w:r>
      <w:bookmarkEnd w:id="434"/>
      <w:bookmarkEnd w:id="435"/>
    </w:p>
    <w:p w14:paraId="4A9A2289">
      <w:pPr>
        <w:pStyle w:val="26"/>
        <w:widowControl/>
        <w:spacing w:before="0" w:line="592" w:lineRule="exact"/>
        <w:ind w:firstLine="640" w:firstLineChars="200"/>
        <w:rPr>
          <w:rFonts w:ascii="仿宋_GB2312" w:hAnsi="仿宋_GB2312" w:eastAsia="仿宋_GB2312" w:cs="仿宋_GB2312"/>
          <w:color w:val="000000"/>
          <w:sz w:val="32"/>
          <w:szCs w:val="32"/>
        </w:rPr>
      </w:pPr>
      <w:bookmarkStart w:id="436" w:name="_Toc7218"/>
      <w:bookmarkStart w:id="437" w:name="_Toc20998"/>
      <w:r>
        <w:rPr>
          <w:rFonts w:hint="eastAsia" w:ascii="仿宋_GB2312" w:hAnsi="仿宋_GB2312" w:eastAsia="仿宋_GB2312" w:cs="仿宋_GB2312"/>
          <w:color w:val="000000"/>
          <w:sz w:val="32"/>
          <w:szCs w:val="32"/>
        </w:rPr>
        <w:t>6.3.7.14投标文件的付款条款与招标文件有不利于招标人的重大偏离的。</w:t>
      </w:r>
      <w:bookmarkEnd w:id="436"/>
      <w:bookmarkEnd w:id="437"/>
    </w:p>
    <w:p w14:paraId="162BB94A">
      <w:pPr>
        <w:pStyle w:val="26"/>
        <w:widowControl/>
        <w:spacing w:before="0" w:line="592" w:lineRule="exact"/>
        <w:ind w:firstLine="640" w:firstLineChars="200"/>
        <w:rPr>
          <w:rFonts w:ascii="仿宋_GB2312" w:hAnsi="仿宋_GB2312" w:eastAsia="仿宋_GB2312" w:cs="仿宋_GB2312"/>
          <w:color w:val="000000"/>
          <w:sz w:val="32"/>
          <w:szCs w:val="32"/>
        </w:rPr>
      </w:pPr>
      <w:bookmarkStart w:id="438" w:name="_Toc15349"/>
      <w:bookmarkStart w:id="439" w:name="_Toc7091"/>
      <w:r>
        <w:rPr>
          <w:rFonts w:hint="eastAsia" w:ascii="仿宋_GB2312" w:hAnsi="仿宋_GB2312" w:eastAsia="仿宋_GB2312" w:cs="仿宋_GB2312"/>
          <w:color w:val="000000"/>
          <w:sz w:val="32"/>
          <w:szCs w:val="32"/>
        </w:rPr>
        <w:t>6.3.7.15 投标方必须是本单位投标。投标方中标后非法分包、转包者，一经发现，投标视为无效，并取消投标方今后参与装备部的投标资格。</w:t>
      </w:r>
      <w:bookmarkEnd w:id="438"/>
      <w:bookmarkEnd w:id="439"/>
    </w:p>
    <w:p w14:paraId="2670055B">
      <w:pPr>
        <w:pStyle w:val="26"/>
        <w:widowControl/>
        <w:spacing w:before="0" w:line="592" w:lineRule="exact"/>
        <w:ind w:firstLine="640" w:firstLineChars="200"/>
        <w:rPr>
          <w:rFonts w:ascii="仿宋_GB2312" w:hAnsi="仿宋_GB2312" w:eastAsia="仿宋_GB2312" w:cs="仿宋_GB2312"/>
          <w:color w:val="000000"/>
          <w:sz w:val="32"/>
          <w:szCs w:val="32"/>
        </w:rPr>
      </w:pPr>
      <w:bookmarkStart w:id="440" w:name="_Toc16885"/>
      <w:bookmarkStart w:id="441" w:name="_Toc3791"/>
      <w:r>
        <w:rPr>
          <w:rFonts w:hint="eastAsia" w:ascii="仿宋_GB2312" w:hAnsi="仿宋_GB2312" w:eastAsia="仿宋_GB2312" w:cs="仿宋_GB2312"/>
          <w:color w:val="000000"/>
          <w:sz w:val="32"/>
          <w:szCs w:val="32"/>
        </w:rPr>
        <w:t>6.3.7.16 投标方借用其他单位资格、信誉、荣誉、业绩与企业认证的，一经发现，取消投标资格，并取消投标方今后参与济钢集团的投标资格。</w:t>
      </w:r>
      <w:bookmarkEnd w:id="440"/>
      <w:bookmarkEnd w:id="441"/>
    </w:p>
    <w:p w14:paraId="328A33C0">
      <w:pPr>
        <w:pStyle w:val="26"/>
        <w:widowControl/>
        <w:spacing w:before="0" w:line="592" w:lineRule="exact"/>
        <w:ind w:firstLine="640" w:firstLineChars="200"/>
        <w:rPr>
          <w:rFonts w:ascii="仿宋_GB2312" w:hAnsi="仿宋_GB2312" w:eastAsia="仿宋_GB2312" w:cs="仿宋_GB2312"/>
          <w:color w:val="000000"/>
          <w:sz w:val="32"/>
          <w:szCs w:val="32"/>
        </w:rPr>
      </w:pPr>
      <w:bookmarkStart w:id="442" w:name="_Toc2192"/>
      <w:bookmarkStart w:id="443" w:name="_Toc3712"/>
      <w:r>
        <w:rPr>
          <w:rFonts w:hint="eastAsia" w:ascii="仿宋_GB2312" w:hAnsi="仿宋_GB2312" w:eastAsia="仿宋_GB2312" w:cs="仿宋_GB2312"/>
          <w:color w:val="000000"/>
          <w:sz w:val="32"/>
          <w:szCs w:val="32"/>
        </w:rPr>
        <w:t>6.3.8 在技术评议时，如发现下列情形之一的，投标文件将被视为无效投标：</w:t>
      </w:r>
      <w:bookmarkEnd w:id="442"/>
      <w:bookmarkEnd w:id="443"/>
    </w:p>
    <w:p w14:paraId="7AF00F5C">
      <w:pPr>
        <w:pStyle w:val="26"/>
        <w:widowControl/>
        <w:spacing w:before="0" w:line="592" w:lineRule="exact"/>
        <w:ind w:firstLine="640" w:firstLineChars="200"/>
        <w:rPr>
          <w:rFonts w:ascii="仿宋_GB2312" w:hAnsi="仿宋_GB2312" w:eastAsia="仿宋_GB2312" w:cs="仿宋_GB2312"/>
          <w:color w:val="000000"/>
          <w:sz w:val="32"/>
          <w:szCs w:val="32"/>
        </w:rPr>
      </w:pPr>
      <w:bookmarkStart w:id="444" w:name="_Toc20897"/>
      <w:bookmarkStart w:id="445" w:name="_Toc26639"/>
      <w:r>
        <w:rPr>
          <w:rFonts w:hint="eastAsia" w:ascii="仿宋_GB2312" w:hAnsi="仿宋_GB2312" w:eastAsia="仿宋_GB2312" w:cs="仿宋_GB2312"/>
          <w:color w:val="000000"/>
          <w:sz w:val="32"/>
          <w:szCs w:val="32"/>
        </w:rPr>
        <w:t>6.3.8.1未提供或未如实提供投标货物的技术参数，或者投标文件标明的响应或偏离与事实不符或虚假投标的；</w:t>
      </w:r>
      <w:bookmarkEnd w:id="444"/>
      <w:bookmarkEnd w:id="445"/>
    </w:p>
    <w:p w14:paraId="668A289E">
      <w:pPr>
        <w:pStyle w:val="26"/>
        <w:widowControl/>
        <w:spacing w:before="0" w:line="592" w:lineRule="exact"/>
        <w:ind w:firstLine="640" w:firstLineChars="200"/>
        <w:rPr>
          <w:rFonts w:ascii="仿宋_GB2312" w:hAnsi="仿宋_GB2312" w:eastAsia="仿宋_GB2312" w:cs="仿宋_GB2312"/>
          <w:color w:val="000000"/>
          <w:sz w:val="32"/>
          <w:szCs w:val="32"/>
        </w:rPr>
      </w:pPr>
      <w:bookmarkStart w:id="446" w:name="_Toc27574"/>
      <w:bookmarkStart w:id="447" w:name="_Toc26223"/>
      <w:r>
        <w:rPr>
          <w:rFonts w:hint="eastAsia" w:ascii="仿宋_GB2312" w:hAnsi="仿宋_GB2312" w:eastAsia="仿宋_GB2312" w:cs="仿宋_GB2312"/>
          <w:color w:val="000000"/>
          <w:sz w:val="32"/>
          <w:szCs w:val="32"/>
        </w:rPr>
        <w:t>6.3.8.2明显不符合招标文件标明的规格型号、质量标准，技术指标、主要功能项目发生实质性偏离的；</w:t>
      </w:r>
      <w:bookmarkEnd w:id="446"/>
      <w:bookmarkEnd w:id="447"/>
    </w:p>
    <w:p w14:paraId="5D451A53">
      <w:pPr>
        <w:pStyle w:val="26"/>
        <w:widowControl/>
        <w:spacing w:before="0" w:line="592" w:lineRule="exact"/>
        <w:ind w:firstLine="640" w:firstLineChars="200"/>
        <w:rPr>
          <w:rFonts w:ascii="仿宋_GB2312" w:hAnsi="仿宋_GB2312" w:eastAsia="仿宋_GB2312" w:cs="仿宋_GB2312"/>
          <w:color w:val="000000"/>
          <w:sz w:val="32"/>
          <w:szCs w:val="32"/>
        </w:rPr>
      </w:pPr>
      <w:bookmarkStart w:id="448" w:name="_Toc6602"/>
      <w:bookmarkStart w:id="449" w:name="_Toc19283"/>
      <w:r>
        <w:rPr>
          <w:rFonts w:hint="eastAsia" w:ascii="仿宋_GB2312" w:hAnsi="仿宋_GB2312" w:eastAsia="仿宋_GB2312" w:cs="仿宋_GB2312"/>
          <w:color w:val="000000"/>
          <w:sz w:val="32"/>
          <w:szCs w:val="32"/>
        </w:rPr>
        <w:t>6.3.8.3投标技术方案不明确，存在一个或一个以上备选（替代）投标方案且未注明哪个有效的；</w:t>
      </w:r>
      <w:bookmarkEnd w:id="448"/>
      <w:bookmarkEnd w:id="449"/>
    </w:p>
    <w:p w14:paraId="3F0FD5B1">
      <w:pPr>
        <w:pStyle w:val="26"/>
        <w:widowControl/>
        <w:spacing w:before="0" w:line="592" w:lineRule="exact"/>
        <w:ind w:firstLine="640" w:firstLineChars="200"/>
        <w:rPr>
          <w:rFonts w:ascii="仿宋_GB2312" w:hAnsi="仿宋_GB2312" w:eastAsia="仿宋_GB2312" w:cs="仿宋_GB2312"/>
          <w:color w:val="000000"/>
          <w:sz w:val="32"/>
          <w:szCs w:val="32"/>
        </w:rPr>
      </w:pPr>
      <w:bookmarkStart w:id="450" w:name="_Toc17922"/>
      <w:bookmarkStart w:id="451" w:name="_Toc14602"/>
      <w:r>
        <w:rPr>
          <w:rFonts w:hint="eastAsia" w:ascii="仿宋_GB2312" w:hAnsi="仿宋_GB2312" w:eastAsia="仿宋_GB2312" w:cs="仿宋_GB2312"/>
          <w:color w:val="000000"/>
          <w:sz w:val="32"/>
          <w:szCs w:val="32"/>
        </w:rPr>
        <w:t>6.3.9、在报价评议时，如发现下列情形之一的，投标文件将被视为无效投标：</w:t>
      </w:r>
      <w:bookmarkEnd w:id="450"/>
      <w:bookmarkEnd w:id="451"/>
    </w:p>
    <w:p w14:paraId="5D85C496">
      <w:pPr>
        <w:pStyle w:val="26"/>
        <w:widowControl/>
        <w:spacing w:before="0" w:line="592" w:lineRule="exact"/>
        <w:ind w:firstLine="640" w:firstLineChars="200"/>
        <w:rPr>
          <w:rFonts w:ascii="仿宋_GB2312" w:hAnsi="仿宋_GB2312" w:eastAsia="仿宋_GB2312" w:cs="仿宋_GB2312"/>
          <w:color w:val="000000"/>
          <w:sz w:val="32"/>
          <w:szCs w:val="32"/>
        </w:rPr>
      </w:pPr>
      <w:bookmarkStart w:id="452" w:name="_Toc9581"/>
      <w:bookmarkStart w:id="453" w:name="_Toc23471"/>
      <w:r>
        <w:rPr>
          <w:rFonts w:hint="eastAsia" w:ascii="仿宋_GB2312" w:hAnsi="仿宋_GB2312" w:eastAsia="仿宋_GB2312" w:cs="仿宋_GB2312"/>
          <w:color w:val="000000"/>
          <w:sz w:val="32"/>
          <w:szCs w:val="32"/>
        </w:rPr>
        <w:t>6.3.9.1开标时，投标方对本单位报价不签字确认的一律视为无效投标。</w:t>
      </w:r>
      <w:bookmarkEnd w:id="452"/>
      <w:bookmarkEnd w:id="453"/>
    </w:p>
    <w:p w14:paraId="6FD38DCC">
      <w:pPr>
        <w:pStyle w:val="26"/>
        <w:widowControl/>
        <w:spacing w:before="0" w:line="592" w:lineRule="exact"/>
        <w:ind w:firstLine="640" w:firstLineChars="200"/>
        <w:rPr>
          <w:rFonts w:ascii="仿宋_GB2312" w:hAnsi="仿宋_GB2312" w:eastAsia="仿宋_GB2312" w:cs="仿宋_GB2312"/>
          <w:color w:val="000000"/>
          <w:sz w:val="32"/>
          <w:szCs w:val="32"/>
        </w:rPr>
      </w:pPr>
      <w:bookmarkStart w:id="454" w:name="_Toc21147"/>
      <w:bookmarkStart w:id="455" w:name="_Toc24479"/>
      <w:r>
        <w:rPr>
          <w:rFonts w:hint="eastAsia" w:ascii="仿宋_GB2312" w:hAnsi="仿宋_GB2312" w:eastAsia="仿宋_GB2312" w:cs="仿宋_GB2312"/>
          <w:color w:val="000000"/>
          <w:sz w:val="32"/>
          <w:szCs w:val="32"/>
        </w:rPr>
        <w:t>6.3.9.2开标时，投标方投标文件中有两种或以上报价的，一律视为无效投标。</w:t>
      </w:r>
      <w:bookmarkEnd w:id="454"/>
      <w:bookmarkEnd w:id="455"/>
    </w:p>
    <w:p w14:paraId="21F3CD1D">
      <w:pPr>
        <w:pStyle w:val="26"/>
        <w:widowControl/>
        <w:spacing w:before="0" w:line="592" w:lineRule="exact"/>
        <w:ind w:firstLine="640" w:firstLineChars="200"/>
        <w:rPr>
          <w:rFonts w:ascii="仿宋_GB2312" w:hAnsi="仿宋_GB2312" w:eastAsia="仿宋_GB2312" w:cs="仿宋_GB2312"/>
          <w:color w:val="000000"/>
          <w:sz w:val="32"/>
          <w:szCs w:val="32"/>
        </w:rPr>
      </w:pPr>
      <w:bookmarkStart w:id="456" w:name="_Toc4905"/>
      <w:bookmarkStart w:id="457" w:name="_Toc28979"/>
      <w:r>
        <w:rPr>
          <w:rFonts w:hint="eastAsia" w:ascii="仿宋_GB2312" w:hAnsi="仿宋_GB2312" w:eastAsia="仿宋_GB2312" w:cs="仿宋_GB2312"/>
          <w:color w:val="000000"/>
          <w:sz w:val="32"/>
          <w:szCs w:val="32"/>
        </w:rPr>
        <w:t>6.3.9.3未采用人民币报价或者未按照招标文件标明的币种报价的；</w:t>
      </w:r>
      <w:bookmarkEnd w:id="456"/>
      <w:bookmarkEnd w:id="457"/>
    </w:p>
    <w:p w14:paraId="21108AB5">
      <w:pPr>
        <w:pStyle w:val="26"/>
        <w:widowControl/>
        <w:spacing w:before="0" w:line="592" w:lineRule="exact"/>
        <w:ind w:firstLine="640" w:firstLineChars="200"/>
        <w:rPr>
          <w:rFonts w:ascii="仿宋_GB2312" w:hAnsi="仿宋_GB2312" w:eastAsia="仿宋_GB2312" w:cs="仿宋_GB2312"/>
          <w:color w:val="000000"/>
          <w:sz w:val="32"/>
          <w:szCs w:val="32"/>
        </w:rPr>
      </w:pPr>
      <w:bookmarkStart w:id="458" w:name="_Toc29081"/>
      <w:bookmarkStart w:id="459" w:name="_Toc18883"/>
      <w:r>
        <w:rPr>
          <w:rFonts w:hint="eastAsia" w:ascii="仿宋_GB2312" w:hAnsi="仿宋_GB2312" w:eastAsia="仿宋_GB2312" w:cs="仿宋_GB2312"/>
          <w:color w:val="000000"/>
          <w:sz w:val="32"/>
          <w:szCs w:val="32"/>
        </w:rPr>
        <w:t>6.3.9.4投标报价具有选择性，报价与投标文件承诺的价格不一致；</w:t>
      </w:r>
      <w:bookmarkEnd w:id="458"/>
      <w:bookmarkEnd w:id="459"/>
    </w:p>
    <w:p w14:paraId="12A60BF0">
      <w:pPr>
        <w:pStyle w:val="26"/>
        <w:widowControl/>
        <w:spacing w:before="0" w:line="592" w:lineRule="exact"/>
        <w:ind w:firstLine="640" w:firstLineChars="200"/>
        <w:rPr>
          <w:rFonts w:ascii="仿宋_GB2312" w:hAnsi="仿宋_GB2312" w:eastAsia="仿宋_GB2312" w:cs="仿宋_GB2312"/>
          <w:color w:val="000000"/>
          <w:sz w:val="32"/>
          <w:szCs w:val="32"/>
        </w:rPr>
      </w:pPr>
      <w:bookmarkStart w:id="460" w:name="_Toc10168"/>
      <w:bookmarkStart w:id="461" w:name="_Toc19667"/>
      <w:r>
        <w:rPr>
          <w:rFonts w:hint="eastAsia" w:ascii="仿宋_GB2312" w:hAnsi="仿宋_GB2312" w:eastAsia="仿宋_GB2312" w:cs="仿宋_GB2312"/>
          <w:color w:val="000000"/>
          <w:sz w:val="32"/>
          <w:szCs w:val="32"/>
        </w:rPr>
        <w:t>6.3.10、有下列情形之一的，投标无效且将投标文件、询标记录等报有关职能部门查处：</w:t>
      </w:r>
      <w:bookmarkEnd w:id="460"/>
      <w:bookmarkEnd w:id="461"/>
    </w:p>
    <w:p w14:paraId="0724A2EC">
      <w:pPr>
        <w:pStyle w:val="26"/>
        <w:widowControl/>
        <w:spacing w:before="0" w:line="592" w:lineRule="exact"/>
        <w:ind w:firstLine="640" w:firstLineChars="200"/>
        <w:rPr>
          <w:rFonts w:ascii="仿宋_GB2312" w:hAnsi="仿宋_GB2312" w:eastAsia="仿宋_GB2312" w:cs="仿宋_GB2312"/>
          <w:color w:val="000000"/>
          <w:sz w:val="32"/>
          <w:szCs w:val="32"/>
        </w:rPr>
      </w:pPr>
      <w:bookmarkStart w:id="462" w:name="_Toc7819"/>
      <w:bookmarkStart w:id="463" w:name="_Toc29301"/>
      <w:r>
        <w:rPr>
          <w:rFonts w:hint="eastAsia" w:ascii="仿宋_GB2312" w:hAnsi="仿宋_GB2312" w:eastAsia="仿宋_GB2312" w:cs="仿宋_GB2312"/>
          <w:color w:val="000000"/>
          <w:sz w:val="32"/>
          <w:szCs w:val="32"/>
        </w:rPr>
        <w:t>6.3.10.1未如实提供产品质量、性能等方面的缺陷或停产淘汰、债权债务、违法记录信息，影响或者可能影响中标结果的；</w:t>
      </w:r>
      <w:bookmarkEnd w:id="462"/>
      <w:bookmarkEnd w:id="463"/>
    </w:p>
    <w:p w14:paraId="238AFC12">
      <w:pPr>
        <w:pStyle w:val="26"/>
        <w:widowControl/>
        <w:spacing w:before="0" w:line="592" w:lineRule="exact"/>
        <w:ind w:firstLine="640" w:firstLineChars="200"/>
        <w:rPr>
          <w:rFonts w:ascii="仿宋_GB2312" w:hAnsi="仿宋_GB2312" w:eastAsia="仿宋_GB2312" w:cs="仿宋_GB2312"/>
          <w:color w:val="000000"/>
          <w:sz w:val="32"/>
          <w:szCs w:val="32"/>
        </w:rPr>
      </w:pPr>
      <w:bookmarkStart w:id="464" w:name="_Toc29586"/>
      <w:bookmarkStart w:id="465" w:name="_Toc19145"/>
      <w:r>
        <w:rPr>
          <w:rFonts w:hint="eastAsia" w:ascii="仿宋_GB2312" w:hAnsi="仿宋_GB2312" w:eastAsia="仿宋_GB2312" w:cs="仿宋_GB2312"/>
          <w:color w:val="000000"/>
          <w:sz w:val="32"/>
          <w:szCs w:val="32"/>
        </w:rPr>
        <w:t>6.3.10.2投标活动中存在违法行为的；</w:t>
      </w:r>
      <w:bookmarkEnd w:id="464"/>
      <w:bookmarkEnd w:id="465"/>
    </w:p>
    <w:p w14:paraId="25F50B31">
      <w:pPr>
        <w:pStyle w:val="26"/>
        <w:widowControl/>
        <w:spacing w:before="0" w:line="592" w:lineRule="exact"/>
        <w:ind w:firstLine="640" w:firstLineChars="200"/>
        <w:rPr>
          <w:rFonts w:ascii="仿宋_GB2312" w:hAnsi="仿宋_GB2312" w:eastAsia="仿宋_GB2312" w:cs="仿宋_GB2312"/>
          <w:color w:val="000000"/>
          <w:sz w:val="32"/>
          <w:szCs w:val="32"/>
        </w:rPr>
      </w:pPr>
      <w:bookmarkStart w:id="466" w:name="_Toc11786"/>
      <w:bookmarkStart w:id="467" w:name="_Toc22672"/>
      <w:r>
        <w:rPr>
          <w:rFonts w:hint="eastAsia" w:ascii="仿宋_GB2312" w:hAnsi="仿宋_GB2312" w:eastAsia="仿宋_GB2312" w:cs="仿宋_GB2312"/>
          <w:color w:val="000000"/>
          <w:sz w:val="32"/>
          <w:szCs w:val="32"/>
        </w:rPr>
        <w:t>6.3.11 重大偏差：</w:t>
      </w:r>
      <w:bookmarkEnd w:id="466"/>
      <w:bookmarkEnd w:id="467"/>
    </w:p>
    <w:p w14:paraId="44BB29AC">
      <w:pPr>
        <w:pStyle w:val="26"/>
        <w:widowControl/>
        <w:spacing w:before="0" w:line="592" w:lineRule="exact"/>
        <w:ind w:firstLine="640" w:firstLineChars="200"/>
        <w:rPr>
          <w:rFonts w:ascii="仿宋_GB2312" w:hAnsi="仿宋_GB2312" w:eastAsia="仿宋_GB2312" w:cs="仿宋_GB2312"/>
          <w:color w:val="000000"/>
          <w:sz w:val="32"/>
          <w:szCs w:val="32"/>
        </w:rPr>
      </w:pPr>
      <w:bookmarkStart w:id="468" w:name="_Toc7912"/>
      <w:bookmarkStart w:id="469" w:name="_Toc21414"/>
      <w:r>
        <w:rPr>
          <w:rFonts w:hint="eastAsia" w:ascii="仿宋_GB2312" w:hAnsi="仿宋_GB2312" w:eastAsia="仿宋_GB2312" w:cs="仿宋_GB2312"/>
          <w:color w:val="000000"/>
          <w:sz w:val="32"/>
          <w:szCs w:val="32"/>
        </w:rPr>
        <w:t>6.3.11.1没有按照招标文件要求提供投标担保或者所提供的投标担保有瑕疵；</w:t>
      </w:r>
      <w:bookmarkEnd w:id="468"/>
      <w:bookmarkEnd w:id="469"/>
    </w:p>
    <w:p w14:paraId="5B3A8147">
      <w:pPr>
        <w:pStyle w:val="26"/>
        <w:widowControl/>
        <w:spacing w:before="0" w:line="592" w:lineRule="exact"/>
        <w:ind w:firstLine="640" w:firstLineChars="200"/>
        <w:rPr>
          <w:rFonts w:ascii="仿宋_GB2312" w:hAnsi="仿宋_GB2312" w:eastAsia="仿宋_GB2312" w:cs="仿宋_GB2312"/>
          <w:color w:val="000000"/>
          <w:sz w:val="32"/>
          <w:szCs w:val="32"/>
        </w:rPr>
      </w:pPr>
      <w:bookmarkStart w:id="470" w:name="_Toc17583"/>
      <w:bookmarkStart w:id="471" w:name="_Toc31513"/>
      <w:r>
        <w:rPr>
          <w:rFonts w:hint="eastAsia" w:ascii="仿宋_GB2312" w:hAnsi="仿宋_GB2312" w:eastAsia="仿宋_GB2312" w:cs="仿宋_GB2312"/>
          <w:color w:val="000000"/>
          <w:sz w:val="32"/>
          <w:szCs w:val="32"/>
        </w:rPr>
        <w:t>6.3.11.2 投标文件中投标方未加盖单位公章，也未经法定代表人或其授权代表签字或盖章的；</w:t>
      </w:r>
      <w:bookmarkEnd w:id="470"/>
      <w:bookmarkEnd w:id="471"/>
    </w:p>
    <w:p w14:paraId="6E7E59CE">
      <w:pPr>
        <w:pStyle w:val="26"/>
        <w:widowControl/>
        <w:spacing w:before="0" w:line="592" w:lineRule="exact"/>
        <w:ind w:firstLine="640" w:firstLineChars="200"/>
        <w:rPr>
          <w:rFonts w:ascii="仿宋_GB2312" w:hAnsi="仿宋_GB2312" w:eastAsia="仿宋_GB2312" w:cs="仿宋_GB2312"/>
          <w:color w:val="000000"/>
          <w:sz w:val="32"/>
          <w:szCs w:val="32"/>
        </w:rPr>
      </w:pPr>
      <w:bookmarkStart w:id="472" w:name="_Toc26830"/>
      <w:bookmarkStart w:id="473" w:name="_Toc7844"/>
      <w:r>
        <w:rPr>
          <w:rFonts w:hint="eastAsia" w:ascii="仿宋_GB2312" w:hAnsi="仿宋_GB2312" w:eastAsia="仿宋_GB2312" w:cs="仿宋_GB2312"/>
          <w:color w:val="000000"/>
          <w:sz w:val="32"/>
          <w:szCs w:val="32"/>
        </w:rPr>
        <w:t>6.3.11.3 投标文件载明的招标项目完成期限超过招标文件规定的期限；</w:t>
      </w:r>
      <w:bookmarkEnd w:id="472"/>
      <w:bookmarkEnd w:id="473"/>
    </w:p>
    <w:p w14:paraId="00482BF3">
      <w:pPr>
        <w:pStyle w:val="26"/>
        <w:widowControl/>
        <w:spacing w:before="0" w:line="592" w:lineRule="exact"/>
        <w:ind w:firstLine="640" w:firstLineChars="200"/>
        <w:rPr>
          <w:rFonts w:ascii="仿宋_GB2312" w:hAnsi="仿宋_GB2312" w:eastAsia="仿宋_GB2312" w:cs="仿宋_GB2312"/>
          <w:color w:val="000000"/>
          <w:sz w:val="32"/>
          <w:szCs w:val="32"/>
        </w:rPr>
      </w:pPr>
      <w:bookmarkStart w:id="474" w:name="_Toc10482"/>
      <w:bookmarkStart w:id="475" w:name="_Toc20889"/>
      <w:r>
        <w:rPr>
          <w:rFonts w:hint="eastAsia" w:ascii="仿宋_GB2312" w:hAnsi="仿宋_GB2312" w:eastAsia="仿宋_GB2312" w:cs="仿宋_GB2312"/>
          <w:color w:val="000000"/>
          <w:sz w:val="32"/>
          <w:szCs w:val="32"/>
        </w:rPr>
        <w:t>6.3.11.4 明显不符合技术规格、技术标准的要求；</w:t>
      </w:r>
      <w:bookmarkEnd w:id="474"/>
      <w:bookmarkEnd w:id="475"/>
    </w:p>
    <w:p w14:paraId="6BCAC358">
      <w:pPr>
        <w:pStyle w:val="26"/>
        <w:widowControl/>
        <w:spacing w:before="0" w:line="592" w:lineRule="exact"/>
        <w:ind w:firstLine="640" w:firstLineChars="200"/>
        <w:rPr>
          <w:rFonts w:ascii="仿宋_GB2312" w:hAnsi="仿宋_GB2312" w:eastAsia="仿宋_GB2312" w:cs="仿宋_GB2312"/>
          <w:color w:val="000000"/>
          <w:sz w:val="32"/>
          <w:szCs w:val="32"/>
        </w:rPr>
      </w:pPr>
      <w:bookmarkStart w:id="476" w:name="_Toc27753"/>
      <w:bookmarkStart w:id="477" w:name="_Toc20010"/>
      <w:r>
        <w:rPr>
          <w:rFonts w:hint="eastAsia" w:ascii="仿宋_GB2312" w:hAnsi="仿宋_GB2312" w:eastAsia="仿宋_GB2312" w:cs="仿宋_GB2312"/>
          <w:color w:val="000000"/>
          <w:sz w:val="32"/>
          <w:szCs w:val="32"/>
        </w:rPr>
        <w:t>6.3.11.5 投标文件承诺的质量等级低于招标文件规定要求的；</w:t>
      </w:r>
      <w:bookmarkEnd w:id="476"/>
      <w:bookmarkEnd w:id="477"/>
    </w:p>
    <w:p w14:paraId="5CB4FE68">
      <w:pPr>
        <w:pStyle w:val="26"/>
        <w:widowControl/>
        <w:spacing w:before="0" w:line="592" w:lineRule="exact"/>
        <w:ind w:firstLine="640" w:firstLineChars="200"/>
        <w:rPr>
          <w:rFonts w:ascii="仿宋_GB2312" w:hAnsi="仿宋_GB2312" w:eastAsia="仿宋_GB2312" w:cs="仿宋_GB2312"/>
          <w:color w:val="000000"/>
          <w:sz w:val="32"/>
          <w:szCs w:val="32"/>
        </w:rPr>
      </w:pPr>
      <w:bookmarkStart w:id="478" w:name="_Toc30539"/>
      <w:bookmarkStart w:id="479" w:name="_Toc20567"/>
      <w:r>
        <w:rPr>
          <w:rFonts w:hint="eastAsia" w:ascii="仿宋_GB2312" w:hAnsi="仿宋_GB2312" w:eastAsia="仿宋_GB2312" w:cs="仿宋_GB2312"/>
          <w:color w:val="000000"/>
          <w:sz w:val="32"/>
          <w:szCs w:val="32"/>
        </w:rPr>
        <w:t>6.3.11.6 投标文件附有招标方不能接受的条件；</w:t>
      </w:r>
      <w:bookmarkEnd w:id="478"/>
      <w:bookmarkEnd w:id="479"/>
    </w:p>
    <w:p w14:paraId="2690B22D">
      <w:pPr>
        <w:pStyle w:val="26"/>
        <w:widowControl/>
        <w:spacing w:before="0" w:line="592" w:lineRule="exact"/>
        <w:ind w:firstLine="640" w:firstLineChars="200"/>
        <w:rPr>
          <w:rFonts w:ascii="仿宋_GB2312" w:hAnsi="仿宋_GB2312" w:eastAsia="仿宋_GB2312" w:cs="仿宋_GB2312"/>
          <w:color w:val="000000"/>
          <w:sz w:val="32"/>
          <w:szCs w:val="32"/>
        </w:rPr>
      </w:pPr>
      <w:bookmarkStart w:id="480" w:name="_Toc31140"/>
      <w:bookmarkStart w:id="481" w:name="_Toc29701"/>
      <w:r>
        <w:rPr>
          <w:rFonts w:hint="eastAsia" w:ascii="仿宋_GB2312" w:hAnsi="仿宋_GB2312" w:eastAsia="仿宋_GB2312" w:cs="仿宋_GB2312"/>
          <w:color w:val="000000"/>
          <w:sz w:val="32"/>
          <w:szCs w:val="32"/>
        </w:rPr>
        <w:t>6.3.11.7 未按规定的格式填写，内容不全或关键字迹模糊、无法辨认；</w:t>
      </w:r>
      <w:bookmarkEnd w:id="480"/>
      <w:bookmarkEnd w:id="481"/>
    </w:p>
    <w:p w14:paraId="18102C63">
      <w:pPr>
        <w:pStyle w:val="26"/>
        <w:widowControl/>
        <w:spacing w:before="0" w:line="592" w:lineRule="exact"/>
        <w:ind w:firstLine="640" w:firstLineChars="200"/>
        <w:rPr>
          <w:rFonts w:ascii="仿宋_GB2312" w:hAnsi="仿宋_GB2312" w:eastAsia="仿宋_GB2312" w:cs="仿宋_GB2312"/>
          <w:color w:val="000000"/>
          <w:sz w:val="32"/>
          <w:szCs w:val="32"/>
        </w:rPr>
      </w:pPr>
      <w:bookmarkStart w:id="482" w:name="_Toc3624"/>
      <w:bookmarkStart w:id="483" w:name="_Toc26613"/>
      <w:r>
        <w:rPr>
          <w:rFonts w:hint="eastAsia" w:ascii="仿宋_GB2312" w:hAnsi="仿宋_GB2312" w:eastAsia="仿宋_GB2312" w:cs="仿宋_GB2312"/>
          <w:color w:val="000000"/>
          <w:sz w:val="32"/>
          <w:szCs w:val="32"/>
        </w:rPr>
        <w:t>6.3.11.8 投标方递交两份或多份内容不同的投标文件，或在一份投标文件中对同一招标项目有两个或多个报价，且未声明哪一个有效，按招标文件规定提交备选投标方案的除外；</w:t>
      </w:r>
      <w:bookmarkEnd w:id="482"/>
      <w:bookmarkEnd w:id="483"/>
    </w:p>
    <w:p w14:paraId="3F8382BE">
      <w:pPr>
        <w:pStyle w:val="26"/>
        <w:widowControl/>
        <w:spacing w:before="0" w:line="592" w:lineRule="exact"/>
        <w:ind w:firstLine="640" w:firstLineChars="200"/>
        <w:rPr>
          <w:rFonts w:ascii="仿宋_GB2312" w:hAnsi="仿宋_GB2312" w:eastAsia="仿宋_GB2312" w:cs="仿宋_GB2312"/>
          <w:color w:val="000000"/>
          <w:sz w:val="32"/>
          <w:szCs w:val="32"/>
        </w:rPr>
      </w:pPr>
      <w:bookmarkStart w:id="484" w:name="_Toc12617"/>
      <w:bookmarkStart w:id="485" w:name="_Toc5497"/>
      <w:r>
        <w:rPr>
          <w:rFonts w:hint="eastAsia" w:ascii="仿宋_GB2312" w:hAnsi="仿宋_GB2312" w:eastAsia="仿宋_GB2312" w:cs="仿宋_GB2312"/>
          <w:color w:val="000000"/>
          <w:sz w:val="32"/>
          <w:szCs w:val="32"/>
        </w:rPr>
        <w:t>6.3.11.9 投标方名称或组织结构与资格预审时不一致且未提供有效证明的；</w:t>
      </w:r>
      <w:bookmarkEnd w:id="484"/>
      <w:bookmarkEnd w:id="485"/>
    </w:p>
    <w:p w14:paraId="333B9661">
      <w:pPr>
        <w:pStyle w:val="26"/>
        <w:widowControl/>
        <w:spacing w:before="0" w:line="592" w:lineRule="exact"/>
        <w:ind w:firstLine="640" w:firstLineChars="200"/>
        <w:rPr>
          <w:rFonts w:ascii="仿宋_GB2312" w:hAnsi="仿宋_GB2312" w:eastAsia="仿宋_GB2312" w:cs="仿宋_GB2312"/>
          <w:color w:val="000000"/>
          <w:sz w:val="32"/>
          <w:szCs w:val="32"/>
        </w:rPr>
      </w:pPr>
      <w:bookmarkStart w:id="486" w:name="_Toc24486"/>
      <w:bookmarkStart w:id="487" w:name="_Toc10825"/>
      <w:r>
        <w:rPr>
          <w:rFonts w:hint="eastAsia" w:ascii="仿宋_GB2312" w:hAnsi="仿宋_GB2312" w:eastAsia="仿宋_GB2312" w:cs="仿宋_GB2312"/>
          <w:color w:val="000000"/>
          <w:sz w:val="32"/>
          <w:szCs w:val="32"/>
        </w:rPr>
        <w:t>6.3.11.10 投标报价明显低于成本报价且材料价格明显与市场价格有重大偏离的；</w:t>
      </w:r>
      <w:bookmarkEnd w:id="486"/>
      <w:bookmarkEnd w:id="487"/>
    </w:p>
    <w:p w14:paraId="1004DB89">
      <w:pPr>
        <w:pStyle w:val="26"/>
        <w:widowControl/>
        <w:spacing w:before="0" w:line="592" w:lineRule="exact"/>
        <w:ind w:firstLine="640" w:firstLineChars="200"/>
        <w:rPr>
          <w:rFonts w:ascii="仿宋_GB2312" w:hAnsi="仿宋_GB2312" w:eastAsia="仿宋_GB2312" w:cs="仿宋_GB2312"/>
          <w:color w:val="000000"/>
          <w:sz w:val="32"/>
          <w:szCs w:val="32"/>
        </w:rPr>
      </w:pPr>
      <w:bookmarkStart w:id="488" w:name="_Toc8183"/>
      <w:bookmarkStart w:id="489" w:name="_Toc10180"/>
      <w:r>
        <w:rPr>
          <w:rFonts w:hint="eastAsia" w:ascii="仿宋_GB2312" w:hAnsi="仿宋_GB2312" w:eastAsia="仿宋_GB2312" w:cs="仿宋_GB2312"/>
          <w:color w:val="000000"/>
          <w:sz w:val="32"/>
          <w:szCs w:val="32"/>
        </w:rPr>
        <w:t>6.3.11.11 不符合招标文件中规定的其他实质性要求（明确约定的重大偏差）；</w:t>
      </w:r>
      <w:bookmarkEnd w:id="488"/>
      <w:bookmarkEnd w:id="489"/>
    </w:p>
    <w:p w14:paraId="2566D782">
      <w:pPr>
        <w:pStyle w:val="26"/>
        <w:widowControl/>
        <w:spacing w:before="0" w:line="592" w:lineRule="exact"/>
        <w:ind w:firstLine="640" w:firstLineChars="200"/>
        <w:rPr>
          <w:rFonts w:ascii="仿宋_GB2312" w:hAnsi="仿宋_GB2312" w:eastAsia="仿宋_GB2312" w:cs="仿宋_GB2312"/>
          <w:color w:val="000000"/>
          <w:sz w:val="32"/>
          <w:szCs w:val="32"/>
        </w:rPr>
      </w:pPr>
      <w:bookmarkStart w:id="490" w:name="_Toc32122"/>
      <w:bookmarkStart w:id="491" w:name="_Toc1791"/>
      <w:r>
        <w:rPr>
          <w:rFonts w:hint="eastAsia" w:ascii="仿宋_GB2312" w:hAnsi="仿宋_GB2312" w:eastAsia="仿宋_GB2312" w:cs="仿宋_GB2312"/>
          <w:color w:val="000000"/>
          <w:sz w:val="32"/>
          <w:szCs w:val="32"/>
        </w:rPr>
        <w:t>6.3.11.12报价明显低于其它投标报价,且投标人不能合理说明或提供相关证明材料,评标委员会认定该投标人以低于成本报价竞标的.评标委员会在评审时，如果发现投标方的投标文件中含有重大偏差内容时，可作废标处理。所有投标被否决后，招标方将依法重新招标。</w:t>
      </w:r>
      <w:bookmarkEnd w:id="490"/>
      <w:bookmarkEnd w:id="491"/>
      <w:r>
        <w:rPr>
          <w:rFonts w:hint="eastAsia" w:ascii="仿宋_GB2312" w:hAnsi="仿宋_GB2312" w:eastAsia="仿宋_GB2312" w:cs="仿宋_GB2312"/>
          <w:color w:val="000000"/>
          <w:sz w:val="32"/>
          <w:szCs w:val="32"/>
        </w:rPr>
        <w:t xml:space="preserve"> </w:t>
      </w:r>
    </w:p>
    <w:p w14:paraId="75666DAA">
      <w:pPr>
        <w:pStyle w:val="26"/>
        <w:widowControl/>
        <w:spacing w:before="0" w:line="592" w:lineRule="exact"/>
        <w:ind w:firstLine="640" w:firstLineChars="200"/>
        <w:rPr>
          <w:rFonts w:ascii="仿宋_GB2312" w:hAnsi="仿宋_GB2312" w:eastAsia="仿宋_GB2312" w:cs="仿宋_GB2312"/>
          <w:color w:val="000000"/>
          <w:sz w:val="32"/>
          <w:szCs w:val="32"/>
        </w:rPr>
      </w:pPr>
      <w:bookmarkStart w:id="492" w:name="_Toc18301"/>
      <w:bookmarkStart w:id="493" w:name="_Toc32762"/>
      <w:r>
        <w:rPr>
          <w:rFonts w:hint="eastAsia" w:ascii="仿宋_GB2312" w:hAnsi="仿宋_GB2312" w:eastAsia="仿宋_GB2312" w:cs="仿宋_GB2312"/>
          <w:color w:val="000000"/>
          <w:sz w:val="32"/>
          <w:szCs w:val="32"/>
        </w:rPr>
        <w:t>6.3.12 细微偏差：非重大偏差的偏差，认定为细微偏差。细微偏差系指投标文件在实质上响应招标文件要求，但在个别地方存在漏项或者提供了不完整的技术信息和数据等情况，并且补正这些遗漏或者不完整不会对其他投标方造成不公平的后果。在评标结束前，评标委员会可以要求投标方书面补正，投标方拒不按照要求对投标中细微偏差不响应承诺的。</w:t>
      </w:r>
      <w:bookmarkEnd w:id="492"/>
      <w:bookmarkEnd w:id="493"/>
    </w:p>
    <w:p w14:paraId="758A11FC">
      <w:pPr>
        <w:pStyle w:val="26"/>
        <w:widowControl/>
        <w:spacing w:before="0" w:line="592" w:lineRule="exact"/>
        <w:ind w:firstLine="640" w:firstLineChars="200"/>
        <w:rPr>
          <w:rFonts w:ascii="仿宋_GB2312" w:hAnsi="仿宋_GB2312" w:eastAsia="仿宋_GB2312" w:cs="仿宋_GB2312"/>
          <w:color w:val="000000"/>
          <w:sz w:val="32"/>
          <w:szCs w:val="32"/>
        </w:rPr>
      </w:pPr>
      <w:bookmarkStart w:id="494" w:name="_Toc18431"/>
      <w:bookmarkStart w:id="495" w:name="_Toc14323"/>
      <w:bookmarkStart w:id="496" w:name="_Toc9270"/>
      <w:r>
        <w:rPr>
          <w:rFonts w:hint="eastAsia" w:ascii="仿宋_GB2312" w:hAnsi="仿宋_GB2312" w:eastAsia="仿宋_GB2312" w:cs="仿宋_GB2312"/>
          <w:color w:val="000000"/>
          <w:sz w:val="32"/>
          <w:szCs w:val="32"/>
        </w:rPr>
        <w:t>6.4 详细评审</w:t>
      </w:r>
      <w:bookmarkEnd w:id="494"/>
      <w:bookmarkEnd w:id="495"/>
      <w:bookmarkEnd w:id="496"/>
    </w:p>
    <w:p w14:paraId="4CE0DADF">
      <w:pPr>
        <w:pStyle w:val="26"/>
        <w:widowControl/>
        <w:spacing w:before="0" w:line="592" w:lineRule="exact"/>
        <w:ind w:firstLine="640" w:firstLineChars="200"/>
        <w:rPr>
          <w:rFonts w:ascii="仿宋_GB2312" w:hAnsi="仿宋_GB2312" w:eastAsia="仿宋_GB2312" w:cs="仿宋_GB2312"/>
          <w:color w:val="000000"/>
          <w:sz w:val="32"/>
          <w:szCs w:val="32"/>
        </w:rPr>
      </w:pPr>
      <w:bookmarkStart w:id="497" w:name="_Toc12925"/>
      <w:bookmarkStart w:id="498" w:name="_Toc22596"/>
      <w:r>
        <w:rPr>
          <w:rFonts w:hint="eastAsia" w:ascii="仿宋_GB2312" w:hAnsi="仿宋_GB2312" w:eastAsia="仿宋_GB2312" w:cs="仿宋_GB2312"/>
          <w:color w:val="000000"/>
          <w:sz w:val="32"/>
          <w:szCs w:val="32"/>
        </w:rPr>
        <w:t>6.4.1只有通过了初步评审、被判定为合格的投标人方可进入详细评审。本次评标采用综合评分法，详细评审的程序：</w:t>
      </w:r>
      <w:bookmarkEnd w:id="497"/>
      <w:bookmarkEnd w:id="498"/>
    </w:p>
    <w:p w14:paraId="69396D42">
      <w:pPr>
        <w:pStyle w:val="26"/>
        <w:widowControl/>
        <w:spacing w:before="0" w:line="592" w:lineRule="exact"/>
        <w:ind w:firstLine="640" w:firstLineChars="200"/>
        <w:rPr>
          <w:rFonts w:ascii="仿宋_GB2312" w:hAnsi="仿宋_GB2312" w:eastAsia="仿宋_GB2312" w:cs="仿宋_GB2312"/>
          <w:color w:val="000000"/>
          <w:sz w:val="32"/>
          <w:szCs w:val="32"/>
        </w:rPr>
      </w:pPr>
      <w:bookmarkStart w:id="499" w:name="_Toc10694"/>
      <w:bookmarkStart w:id="500" w:name="_Toc25361"/>
      <w:r>
        <w:rPr>
          <w:rFonts w:hint="eastAsia" w:ascii="仿宋_GB2312" w:hAnsi="仿宋_GB2312" w:eastAsia="仿宋_GB2312" w:cs="仿宋_GB2312"/>
          <w:color w:val="000000"/>
          <w:sz w:val="32"/>
          <w:szCs w:val="32"/>
        </w:rPr>
        <w:t>6.4.1.1技术标评审</w:t>
      </w:r>
      <w:bookmarkEnd w:id="499"/>
      <w:bookmarkEnd w:id="500"/>
    </w:p>
    <w:p w14:paraId="5B216B6B">
      <w:pPr>
        <w:pStyle w:val="26"/>
        <w:widowControl/>
        <w:spacing w:before="0" w:line="592" w:lineRule="exact"/>
        <w:ind w:firstLine="640" w:firstLineChars="200"/>
        <w:rPr>
          <w:rFonts w:ascii="仿宋_GB2312" w:hAnsi="仿宋_GB2312" w:eastAsia="仿宋_GB2312" w:cs="仿宋_GB2312"/>
          <w:color w:val="000000"/>
          <w:sz w:val="32"/>
          <w:szCs w:val="32"/>
        </w:rPr>
      </w:pPr>
      <w:bookmarkStart w:id="501" w:name="_Toc11803"/>
      <w:bookmarkStart w:id="502" w:name="_Toc31533"/>
      <w:r>
        <w:rPr>
          <w:rFonts w:hint="eastAsia" w:ascii="仿宋_GB2312" w:hAnsi="仿宋_GB2312" w:eastAsia="仿宋_GB2312" w:cs="仿宋_GB2312"/>
          <w:color w:val="000000"/>
          <w:sz w:val="32"/>
          <w:szCs w:val="32"/>
        </w:rPr>
        <w:t>6.4.1.2商务标评审（须已通过技术标评审）；</w:t>
      </w:r>
      <w:bookmarkEnd w:id="501"/>
      <w:bookmarkEnd w:id="502"/>
    </w:p>
    <w:p w14:paraId="2C22DE09">
      <w:pPr>
        <w:pStyle w:val="26"/>
        <w:widowControl/>
        <w:spacing w:before="0" w:line="592" w:lineRule="exact"/>
        <w:ind w:firstLine="640" w:firstLineChars="200"/>
        <w:rPr>
          <w:rFonts w:ascii="仿宋_GB2312" w:hAnsi="仿宋_GB2312" w:eastAsia="仿宋_GB2312" w:cs="仿宋_GB2312"/>
          <w:color w:val="000000"/>
          <w:sz w:val="32"/>
          <w:szCs w:val="32"/>
        </w:rPr>
      </w:pPr>
      <w:bookmarkStart w:id="503" w:name="_Toc7220"/>
      <w:bookmarkStart w:id="504" w:name="_Toc17042"/>
      <w:r>
        <w:rPr>
          <w:rFonts w:hint="eastAsia" w:ascii="仿宋_GB2312" w:hAnsi="仿宋_GB2312" w:eastAsia="仿宋_GB2312" w:cs="仿宋_GB2312"/>
          <w:color w:val="000000"/>
          <w:sz w:val="32"/>
          <w:szCs w:val="32"/>
        </w:rPr>
        <w:t>6.4.1.3其他因素评审和评分</w:t>
      </w:r>
      <w:bookmarkEnd w:id="503"/>
      <w:bookmarkEnd w:id="504"/>
    </w:p>
    <w:p w14:paraId="50ACC3E7">
      <w:pPr>
        <w:pStyle w:val="26"/>
        <w:widowControl/>
        <w:spacing w:before="0" w:line="592" w:lineRule="exact"/>
        <w:ind w:firstLine="640" w:firstLineChars="200"/>
        <w:rPr>
          <w:rFonts w:ascii="仿宋_GB2312" w:hAnsi="仿宋_GB2312" w:eastAsia="仿宋_GB2312" w:cs="仿宋_GB2312"/>
          <w:color w:val="000000"/>
          <w:sz w:val="32"/>
          <w:szCs w:val="32"/>
        </w:rPr>
      </w:pPr>
      <w:bookmarkStart w:id="505" w:name="_Toc24229"/>
      <w:bookmarkStart w:id="506" w:name="_Toc2161"/>
      <w:r>
        <w:rPr>
          <w:rFonts w:hint="eastAsia" w:ascii="仿宋_GB2312" w:hAnsi="仿宋_GB2312" w:eastAsia="仿宋_GB2312" w:cs="仿宋_GB2312"/>
          <w:color w:val="000000"/>
          <w:sz w:val="32"/>
          <w:szCs w:val="32"/>
        </w:rPr>
        <w:t>6.4.1.4汇总评分结果。</w:t>
      </w:r>
      <w:bookmarkEnd w:id="505"/>
      <w:bookmarkEnd w:id="506"/>
    </w:p>
    <w:p w14:paraId="0EE45D72">
      <w:pPr>
        <w:pStyle w:val="26"/>
        <w:widowControl/>
        <w:spacing w:before="0" w:line="592" w:lineRule="exact"/>
        <w:ind w:firstLine="640" w:firstLineChars="200"/>
        <w:rPr>
          <w:rFonts w:ascii="仿宋_GB2312" w:hAnsi="仿宋_GB2312" w:eastAsia="仿宋_GB2312" w:cs="仿宋_GB2312"/>
          <w:color w:val="000000"/>
          <w:sz w:val="32"/>
          <w:szCs w:val="32"/>
        </w:rPr>
      </w:pPr>
      <w:bookmarkStart w:id="507" w:name="_Toc3923"/>
      <w:bookmarkStart w:id="508" w:name="_Toc1042"/>
      <w:r>
        <w:rPr>
          <w:rFonts w:hint="eastAsia" w:ascii="仿宋_GB2312" w:hAnsi="仿宋_GB2312" w:eastAsia="仿宋_GB2312" w:cs="仿宋_GB2312"/>
          <w:color w:val="000000"/>
          <w:sz w:val="32"/>
          <w:szCs w:val="32"/>
        </w:rPr>
        <w:t>6.4.1.5评标委员会对资格评审合格，并满足招标文件实质性要求的投标文件，按照招标文件规定的评分标准进行评分。评标委员会成员评分的算术平均值为投标人的最终得分，计算各评标委员会成员评分算术平均值时，应先去掉一个最高评分和一个最低评分。</w:t>
      </w:r>
      <w:bookmarkEnd w:id="507"/>
      <w:bookmarkEnd w:id="508"/>
    </w:p>
    <w:p w14:paraId="69E1A0CC">
      <w:pPr>
        <w:pStyle w:val="26"/>
        <w:widowControl/>
        <w:spacing w:before="0" w:line="592" w:lineRule="exact"/>
        <w:ind w:firstLine="640" w:firstLineChars="200"/>
        <w:rPr>
          <w:rFonts w:ascii="仿宋_GB2312" w:hAnsi="仿宋_GB2312" w:eastAsia="仿宋_GB2312" w:cs="仿宋_GB2312"/>
          <w:color w:val="000000"/>
          <w:sz w:val="32"/>
          <w:szCs w:val="32"/>
        </w:rPr>
      </w:pPr>
      <w:bookmarkStart w:id="509" w:name="_Toc7045"/>
      <w:bookmarkStart w:id="510" w:name="_Toc19830"/>
      <w:r>
        <w:rPr>
          <w:rFonts w:hint="eastAsia" w:ascii="仿宋_GB2312" w:hAnsi="仿宋_GB2312" w:eastAsia="仿宋_GB2312" w:cs="仿宋_GB2312"/>
          <w:color w:val="000000"/>
          <w:sz w:val="32"/>
          <w:szCs w:val="32"/>
        </w:rPr>
        <w:t>6.4.1.6评委评分分值高出或低于所有评委评分平均分值20%以上的，该评委应做出书面说明，并交由现场监督人员存入评标档案。</w:t>
      </w:r>
      <w:bookmarkEnd w:id="509"/>
      <w:bookmarkEnd w:id="510"/>
    </w:p>
    <w:p w14:paraId="0FE2AFC4">
      <w:pPr>
        <w:pStyle w:val="26"/>
        <w:widowControl/>
        <w:spacing w:before="0" w:line="592" w:lineRule="exact"/>
        <w:ind w:firstLine="640" w:firstLineChars="200"/>
        <w:rPr>
          <w:rFonts w:ascii="仿宋_GB2312" w:hAnsi="仿宋_GB2312" w:eastAsia="仿宋_GB2312" w:cs="仿宋_GB2312"/>
          <w:color w:val="000000"/>
          <w:sz w:val="32"/>
          <w:szCs w:val="32"/>
        </w:rPr>
      </w:pPr>
      <w:bookmarkStart w:id="511" w:name="_Toc10744"/>
      <w:bookmarkStart w:id="512" w:name="_Toc21867"/>
      <w:r>
        <w:rPr>
          <w:rFonts w:hint="eastAsia" w:ascii="仿宋_GB2312" w:hAnsi="仿宋_GB2312" w:eastAsia="仿宋_GB2312" w:cs="仿宋_GB2312"/>
          <w:color w:val="000000"/>
          <w:sz w:val="32"/>
          <w:szCs w:val="32"/>
        </w:rPr>
        <w:t>6.4.2在详细评审过程中，评标委员会应当就投标文件中不明确的内容要求投标人进行澄清、说明或者补正。投标人对此以书面形式予以澄清、说明或者补正。不按评标委员会要求澄清、说明或补正的，评标委员会将否决其投标。</w:t>
      </w:r>
      <w:bookmarkEnd w:id="511"/>
      <w:bookmarkEnd w:id="512"/>
    </w:p>
    <w:p w14:paraId="067DBD23">
      <w:pPr>
        <w:pStyle w:val="26"/>
        <w:widowControl/>
        <w:spacing w:before="0" w:line="592" w:lineRule="exact"/>
        <w:ind w:firstLine="640" w:firstLineChars="200"/>
        <w:rPr>
          <w:rFonts w:ascii="仿宋_GB2312" w:hAnsi="仿宋_GB2312" w:eastAsia="仿宋_GB2312" w:cs="仿宋_GB2312"/>
          <w:color w:val="000000"/>
          <w:sz w:val="32"/>
          <w:szCs w:val="32"/>
        </w:rPr>
      </w:pPr>
      <w:bookmarkStart w:id="513" w:name="_Toc852"/>
      <w:bookmarkStart w:id="514" w:name="_Toc8377"/>
      <w:r>
        <w:rPr>
          <w:rFonts w:hint="eastAsia" w:ascii="仿宋_GB2312" w:hAnsi="仿宋_GB2312" w:eastAsia="仿宋_GB2312" w:cs="仿宋_GB2312"/>
          <w:color w:val="000000"/>
          <w:sz w:val="32"/>
          <w:szCs w:val="32"/>
        </w:rPr>
        <w:t>6.4.3评标委员会在评标过程中发现的问题，应当及时作出处理并作书面记录。</w:t>
      </w:r>
      <w:bookmarkEnd w:id="513"/>
      <w:bookmarkEnd w:id="514"/>
    </w:p>
    <w:p w14:paraId="20CD8D68">
      <w:pPr>
        <w:pStyle w:val="26"/>
        <w:widowControl/>
        <w:spacing w:before="0" w:line="592" w:lineRule="exact"/>
        <w:ind w:firstLine="640" w:firstLineChars="200"/>
        <w:rPr>
          <w:rFonts w:ascii="仿宋_GB2312" w:hAnsi="仿宋_GB2312" w:eastAsia="仿宋_GB2312" w:cs="仿宋_GB2312"/>
          <w:color w:val="000000"/>
          <w:sz w:val="32"/>
          <w:szCs w:val="32"/>
        </w:rPr>
      </w:pPr>
      <w:bookmarkStart w:id="515" w:name="_Toc9363"/>
      <w:bookmarkStart w:id="516" w:name="_Toc22142"/>
      <w:bookmarkStart w:id="517" w:name="_Toc15367"/>
      <w:r>
        <w:rPr>
          <w:rFonts w:hint="eastAsia" w:ascii="仿宋_GB2312" w:hAnsi="仿宋_GB2312" w:eastAsia="仿宋_GB2312" w:cs="仿宋_GB2312"/>
          <w:color w:val="000000"/>
          <w:sz w:val="32"/>
          <w:szCs w:val="32"/>
        </w:rPr>
        <w:t>7.定标</w:t>
      </w:r>
      <w:bookmarkEnd w:id="515"/>
      <w:bookmarkEnd w:id="516"/>
      <w:bookmarkEnd w:id="517"/>
    </w:p>
    <w:p w14:paraId="08B69046">
      <w:pPr>
        <w:pStyle w:val="26"/>
        <w:widowControl/>
        <w:spacing w:before="0" w:line="592" w:lineRule="exact"/>
        <w:ind w:firstLine="640" w:firstLineChars="200"/>
        <w:rPr>
          <w:rFonts w:ascii="仿宋_GB2312" w:hAnsi="仿宋_GB2312" w:eastAsia="仿宋_GB2312" w:cs="仿宋_GB2312"/>
          <w:color w:val="000000"/>
          <w:sz w:val="32"/>
          <w:szCs w:val="32"/>
        </w:rPr>
      </w:pPr>
      <w:bookmarkStart w:id="518" w:name="_Toc9750"/>
      <w:bookmarkStart w:id="519" w:name="_Toc4345"/>
      <w:bookmarkStart w:id="520" w:name="_Toc3760"/>
      <w:r>
        <w:rPr>
          <w:rFonts w:hint="eastAsia" w:ascii="仿宋_GB2312" w:hAnsi="仿宋_GB2312" w:eastAsia="仿宋_GB2312" w:cs="仿宋_GB2312"/>
          <w:color w:val="000000"/>
          <w:sz w:val="32"/>
          <w:szCs w:val="32"/>
        </w:rPr>
        <w:t>7.1定标方式</w:t>
      </w:r>
      <w:bookmarkEnd w:id="518"/>
      <w:bookmarkEnd w:id="519"/>
      <w:bookmarkEnd w:id="520"/>
    </w:p>
    <w:p w14:paraId="5EC97777">
      <w:pPr>
        <w:pStyle w:val="26"/>
        <w:widowControl/>
        <w:spacing w:before="0" w:line="592" w:lineRule="exact"/>
        <w:ind w:firstLine="640" w:firstLineChars="200"/>
        <w:rPr>
          <w:rFonts w:ascii="仿宋_GB2312" w:hAnsi="仿宋_GB2312" w:eastAsia="仿宋_GB2312" w:cs="仿宋_GB2312"/>
          <w:color w:val="000000"/>
          <w:sz w:val="32"/>
          <w:szCs w:val="32"/>
        </w:rPr>
      </w:pPr>
      <w:bookmarkStart w:id="521" w:name="_Toc31943"/>
      <w:bookmarkStart w:id="522" w:name="_Toc24308"/>
      <w:r>
        <w:rPr>
          <w:rFonts w:hint="eastAsia" w:ascii="仿宋_GB2312" w:hAnsi="仿宋_GB2312" w:eastAsia="仿宋_GB2312" w:cs="仿宋_GB2312"/>
          <w:color w:val="000000"/>
          <w:sz w:val="32"/>
          <w:szCs w:val="32"/>
        </w:rPr>
        <w:t>7.1.1当出现二个或二个以上投标人的最终得分相同时，由评标委员会依次按投标人的投标价高低、技术标得分高低进行排序，即投标价低的排序优先，如投标价相同时，则技术标得分高的排序优先，如投标价与技术标得分均相同时，由评标委员会成员进行记名投票，按得票多少确定中标候选人排名排序。</w:t>
      </w:r>
      <w:bookmarkEnd w:id="521"/>
      <w:bookmarkEnd w:id="522"/>
    </w:p>
    <w:p w14:paraId="71F8E63F">
      <w:pPr>
        <w:pStyle w:val="26"/>
        <w:widowControl/>
        <w:spacing w:before="0" w:line="592" w:lineRule="exact"/>
        <w:ind w:firstLine="640" w:firstLineChars="200"/>
        <w:rPr>
          <w:rFonts w:ascii="仿宋_GB2312" w:hAnsi="仿宋_GB2312" w:eastAsia="仿宋_GB2312" w:cs="仿宋_GB2312"/>
          <w:color w:val="000000"/>
          <w:sz w:val="32"/>
          <w:szCs w:val="32"/>
        </w:rPr>
      </w:pPr>
      <w:bookmarkStart w:id="523" w:name="_Toc28859"/>
      <w:bookmarkStart w:id="524" w:name="_Toc8126"/>
      <w:r>
        <w:rPr>
          <w:rFonts w:hint="eastAsia" w:ascii="仿宋_GB2312" w:hAnsi="仿宋_GB2312" w:eastAsia="仿宋_GB2312" w:cs="仿宋_GB2312"/>
          <w:color w:val="000000"/>
          <w:sz w:val="32"/>
          <w:szCs w:val="32"/>
        </w:rPr>
        <w:t>7.1.2评标委员会依据评标方法及评标细则，对投标文件进行评审和比较，向招标人提出书面评标报告，并按得分高低排列顺序，推荐2名合格的中标候选人。招标人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bookmarkEnd w:id="523"/>
      <w:bookmarkEnd w:id="524"/>
    </w:p>
    <w:p w14:paraId="74A5ECCE">
      <w:pPr>
        <w:pStyle w:val="26"/>
        <w:widowControl/>
        <w:spacing w:before="0" w:line="592" w:lineRule="exact"/>
        <w:ind w:firstLine="640" w:firstLineChars="200"/>
        <w:rPr>
          <w:rFonts w:ascii="仿宋_GB2312" w:hAnsi="仿宋_GB2312" w:eastAsia="仿宋_GB2312" w:cs="仿宋_GB2312"/>
          <w:color w:val="000000"/>
          <w:sz w:val="32"/>
          <w:szCs w:val="32"/>
        </w:rPr>
      </w:pPr>
      <w:bookmarkStart w:id="525" w:name="_Toc25008"/>
      <w:bookmarkStart w:id="526" w:name="_Toc7015"/>
      <w:r>
        <w:rPr>
          <w:rFonts w:hint="eastAsia" w:ascii="仿宋_GB2312" w:hAnsi="仿宋_GB2312" w:eastAsia="仿宋_GB2312" w:cs="仿宋_GB2312"/>
          <w:color w:val="000000"/>
          <w:sz w:val="32"/>
          <w:szCs w:val="32"/>
        </w:rPr>
        <w:t>7.1.3编制评标报告</w:t>
      </w:r>
      <w:bookmarkEnd w:id="525"/>
      <w:bookmarkEnd w:id="526"/>
    </w:p>
    <w:p w14:paraId="1C7A86A9">
      <w:pPr>
        <w:pStyle w:val="26"/>
        <w:widowControl/>
        <w:spacing w:before="0" w:line="592" w:lineRule="exact"/>
        <w:ind w:firstLine="640" w:firstLineChars="200"/>
        <w:rPr>
          <w:rFonts w:ascii="仿宋_GB2312" w:hAnsi="仿宋_GB2312" w:eastAsia="仿宋_GB2312" w:cs="仿宋_GB2312"/>
          <w:color w:val="000000"/>
          <w:sz w:val="32"/>
          <w:szCs w:val="32"/>
        </w:rPr>
      </w:pPr>
      <w:bookmarkStart w:id="527" w:name="_Toc4006"/>
      <w:bookmarkStart w:id="528" w:name="_Toc11691"/>
      <w:r>
        <w:rPr>
          <w:rFonts w:hint="eastAsia" w:ascii="仿宋_GB2312" w:hAnsi="仿宋_GB2312" w:eastAsia="仿宋_GB2312" w:cs="仿宋_GB2312"/>
          <w:color w:val="000000"/>
          <w:sz w:val="32"/>
          <w:szCs w:val="32"/>
        </w:rPr>
        <w:t>评标委员会向招标人提交评标报告。评标报告应当由全体评标委员会成员签字。评标报告应当包括以下内容：</w:t>
      </w:r>
      <w:bookmarkEnd w:id="527"/>
      <w:bookmarkEnd w:id="528"/>
    </w:p>
    <w:p w14:paraId="238CC38F">
      <w:pPr>
        <w:pStyle w:val="26"/>
        <w:widowControl/>
        <w:spacing w:before="0" w:line="592" w:lineRule="exact"/>
        <w:ind w:firstLine="640" w:firstLineChars="200"/>
        <w:rPr>
          <w:rFonts w:ascii="仿宋_GB2312" w:hAnsi="仿宋_GB2312" w:eastAsia="仿宋_GB2312" w:cs="仿宋_GB2312"/>
          <w:color w:val="000000"/>
          <w:sz w:val="32"/>
          <w:szCs w:val="32"/>
        </w:rPr>
      </w:pPr>
      <w:bookmarkStart w:id="529" w:name="_Toc3663"/>
      <w:bookmarkStart w:id="530" w:name="_Toc26678"/>
      <w:r>
        <w:rPr>
          <w:rFonts w:hint="eastAsia" w:ascii="仿宋_GB2312" w:hAnsi="仿宋_GB2312" w:eastAsia="仿宋_GB2312" w:cs="仿宋_GB2312"/>
          <w:color w:val="000000"/>
          <w:sz w:val="32"/>
          <w:szCs w:val="32"/>
        </w:rPr>
        <w:t>（1）基本情况和数据表；</w:t>
      </w:r>
      <w:bookmarkEnd w:id="529"/>
      <w:bookmarkEnd w:id="530"/>
    </w:p>
    <w:p w14:paraId="6A370755">
      <w:pPr>
        <w:pStyle w:val="26"/>
        <w:widowControl/>
        <w:spacing w:before="0" w:line="592" w:lineRule="exact"/>
        <w:ind w:firstLine="640" w:firstLineChars="200"/>
        <w:rPr>
          <w:rFonts w:ascii="仿宋_GB2312" w:hAnsi="仿宋_GB2312" w:eastAsia="仿宋_GB2312" w:cs="仿宋_GB2312"/>
          <w:color w:val="000000"/>
          <w:sz w:val="32"/>
          <w:szCs w:val="32"/>
        </w:rPr>
      </w:pPr>
      <w:bookmarkStart w:id="531" w:name="_Toc28804"/>
      <w:bookmarkStart w:id="532" w:name="_Toc18525"/>
      <w:r>
        <w:rPr>
          <w:rFonts w:hint="eastAsia" w:ascii="仿宋_GB2312" w:hAnsi="仿宋_GB2312" w:eastAsia="仿宋_GB2312" w:cs="仿宋_GB2312"/>
          <w:color w:val="000000"/>
          <w:sz w:val="32"/>
          <w:szCs w:val="32"/>
        </w:rPr>
        <w:t>（2）评标委员会成员名单；</w:t>
      </w:r>
      <w:bookmarkEnd w:id="531"/>
      <w:bookmarkEnd w:id="532"/>
    </w:p>
    <w:p w14:paraId="5C214588">
      <w:pPr>
        <w:pStyle w:val="26"/>
        <w:widowControl/>
        <w:spacing w:before="0" w:line="592" w:lineRule="exact"/>
        <w:ind w:firstLine="640" w:firstLineChars="200"/>
        <w:rPr>
          <w:rFonts w:ascii="仿宋_GB2312" w:hAnsi="仿宋_GB2312" w:eastAsia="仿宋_GB2312" w:cs="仿宋_GB2312"/>
          <w:color w:val="000000"/>
          <w:sz w:val="32"/>
          <w:szCs w:val="32"/>
        </w:rPr>
      </w:pPr>
      <w:bookmarkStart w:id="533" w:name="_Toc7732"/>
      <w:bookmarkStart w:id="534" w:name="_Toc30416"/>
      <w:r>
        <w:rPr>
          <w:rFonts w:hint="eastAsia" w:ascii="仿宋_GB2312" w:hAnsi="仿宋_GB2312" w:eastAsia="仿宋_GB2312" w:cs="仿宋_GB2312"/>
          <w:color w:val="000000"/>
          <w:sz w:val="32"/>
          <w:szCs w:val="32"/>
        </w:rPr>
        <w:t>（3）开标记录；</w:t>
      </w:r>
      <w:bookmarkEnd w:id="533"/>
      <w:bookmarkEnd w:id="534"/>
    </w:p>
    <w:p w14:paraId="037563B4">
      <w:pPr>
        <w:pStyle w:val="26"/>
        <w:widowControl/>
        <w:spacing w:before="0" w:line="592" w:lineRule="exact"/>
        <w:ind w:firstLine="640" w:firstLineChars="200"/>
        <w:rPr>
          <w:rFonts w:ascii="仿宋_GB2312" w:hAnsi="仿宋_GB2312" w:eastAsia="仿宋_GB2312" w:cs="仿宋_GB2312"/>
          <w:color w:val="000000"/>
          <w:sz w:val="32"/>
          <w:szCs w:val="32"/>
        </w:rPr>
      </w:pPr>
      <w:bookmarkStart w:id="535" w:name="_Toc6516"/>
      <w:bookmarkStart w:id="536" w:name="_Toc13864"/>
      <w:r>
        <w:rPr>
          <w:rFonts w:hint="eastAsia" w:ascii="仿宋_GB2312" w:hAnsi="仿宋_GB2312" w:eastAsia="仿宋_GB2312" w:cs="仿宋_GB2312"/>
          <w:color w:val="000000"/>
          <w:sz w:val="32"/>
          <w:szCs w:val="32"/>
        </w:rPr>
        <w:t>（4）符合要求的投标一览表；</w:t>
      </w:r>
      <w:bookmarkEnd w:id="535"/>
      <w:bookmarkEnd w:id="536"/>
    </w:p>
    <w:p w14:paraId="497E9614">
      <w:pPr>
        <w:pStyle w:val="26"/>
        <w:widowControl/>
        <w:spacing w:before="0" w:line="592" w:lineRule="exact"/>
        <w:ind w:firstLine="640" w:firstLineChars="200"/>
        <w:rPr>
          <w:rFonts w:ascii="仿宋_GB2312" w:hAnsi="仿宋_GB2312" w:eastAsia="仿宋_GB2312" w:cs="仿宋_GB2312"/>
          <w:color w:val="000000"/>
          <w:sz w:val="32"/>
          <w:szCs w:val="32"/>
        </w:rPr>
      </w:pPr>
      <w:bookmarkStart w:id="537" w:name="_Toc6022"/>
      <w:bookmarkStart w:id="538" w:name="_Toc29041"/>
      <w:r>
        <w:rPr>
          <w:rFonts w:hint="eastAsia" w:ascii="仿宋_GB2312" w:hAnsi="仿宋_GB2312" w:eastAsia="仿宋_GB2312" w:cs="仿宋_GB2312"/>
          <w:color w:val="000000"/>
          <w:sz w:val="32"/>
          <w:szCs w:val="32"/>
        </w:rPr>
        <w:t>（5）废标情况说明；</w:t>
      </w:r>
      <w:bookmarkEnd w:id="537"/>
      <w:bookmarkEnd w:id="538"/>
    </w:p>
    <w:p w14:paraId="1850651E">
      <w:pPr>
        <w:pStyle w:val="26"/>
        <w:widowControl/>
        <w:spacing w:before="0" w:line="592" w:lineRule="exact"/>
        <w:ind w:firstLine="640" w:firstLineChars="200"/>
        <w:rPr>
          <w:rFonts w:ascii="仿宋_GB2312" w:hAnsi="仿宋_GB2312" w:eastAsia="仿宋_GB2312" w:cs="仿宋_GB2312"/>
          <w:color w:val="000000"/>
          <w:sz w:val="32"/>
          <w:szCs w:val="32"/>
        </w:rPr>
      </w:pPr>
      <w:bookmarkStart w:id="539" w:name="_Toc17304"/>
      <w:bookmarkStart w:id="540" w:name="_Toc23428"/>
      <w:r>
        <w:rPr>
          <w:rFonts w:hint="eastAsia" w:ascii="仿宋_GB2312" w:hAnsi="仿宋_GB2312" w:eastAsia="仿宋_GB2312" w:cs="仿宋_GB2312"/>
          <w:color w:val="000000"/>
          <w:sz w:val="32"/>
          <w:szCs w:val="32"/>
        </w:rPr>
        <w:t>（6）评标标准、评标方法或者评标因素一览表；</w:t>
      </w:r>
      <w:bookmarkEnd w:id="539"/>
      <w:bookmarkEnd w:id="540"/>
    </w:p>
    <w:p w14:paraId="5F44004B">
      <w:pPr>
        <w:pStyle w:val="26"/>
        <w:widowControl/>
        <w:spacing w:before="0" w:line="592" w:lineRule="exact"/>
        <w:ind w:firstLine="640" w:firstLineChars="200"/>
        <w:rPr>
          <w:rFonts w:ascii="仿宋_GB2312" w:hAnsi="仿宋_GB2312" w:eastAsia="仿宋_GB2312" w:cs="仿宋_GB2312"/>
          <w:color w:val="000000"/>
          <w:sz w:val="32"/>
          <w:szCs w:val="32"/>
        </w:rPr>
      </w:pPr>
      <w:bookmarkStart w:id="541" w:name="_Toc22731"/>
      <w:bookmarkStart w:id="542" w:name="_Toc17499"/>
      <w:r>
        <w:rPr>
          <w:rFonts w:hint="eastAsia" w:ascii="仿宋_GB2312" w:hAnsi="仿宋_GB2312" w:eastAsia="仿宋_GB2312" w:cs="仿宋_GB2312"/>
          <w:color w:val="000000"/>
          <w:sz w:val="32"/>
          <w:szCs w:val="32"/>
        </w:rPr>
        <w:t>（7）经评审的价格一览表（包括评标委员会在评标过程中所形成的所有记载评标结果、结论的表格、说明、记录等文件）；</w:t>
      </w:r>
      <w:bookmarkEnd w:id="541"/>
      <w:bookmarkEnd w:id="542"/>
    </w:p>
    <w:p w14:paraId="4ECC39A0">
      <w:pPr>
        <w:pStyle w:val="26"/>
        <w:widowControl/>
        <w:spacing w:before="0" w:line="592" w:lineRule="exact"/>
        <w:ind w:firstLine="640" w:firstLineChars="200"/>
        <w:rPr>
          <w:rFonts w:ascii="仿宋_GB2312" w:hAnsi="仿宋_GB2312" w:eastAsia="仿宋_GB2312" w:cs="仿宋_GB2312"/>
          <w:color w:val="000000"/>
          <w:sz w:val="32"/>
          <w:szCs w:val="32"/>
        </w:rPr>
      </w:pPr>
      <w:bookmarkStart w:id="543" w:name="_Toc28454"/>
      <w:bookmarkStart w:id="544" w:name="_Toc23827"/>
      <w:r>
        <w:rPr>
          <w:rFonts w:hint="eastAsia" w:ascii="仿宋_GB2312" w:hAnsi="仿宋_GB2312" w:eastAsia="仿宋_GB2312" w:cs="仿宋_GB2312"/>
          <w:color w:val="000000"/>
          <w:sz w:val="32"/>
          <w:szCs w:val="32"/>
        </w:rPr>
        <w:t>（8）经评审的投标人排序；</w:t>
      </w:r>
      <w:bookmarkEnd w:id="543"/>
      <w:bookmarkEnd w:id="544"/>
    </w:p>
    <w:p w14:paraId="0BCB9D0C">
      <w:pPr>
        <w:pStyle w:val="26"/>
        <w:widowControl/>
        <w:spacing w:before="0" w:line="592" w:lineRule="exact"/>
        <w:ind w:firstLine="640" w:firstLineChars="200"/>
        <w:rPr>
          <w:rFonts w:ascii="仿宋_GB2312" w:hAnsi="仿宋_GB2312" w:eastAsia="仿宋_GB2312" w:cs="仿宋_GB2312"/>
          <w:color w:val="000000"/>
          <w:sz w:val="32"/>
          <w:szCs w:val="32"/>
        </w:rPr>
      </w:pPr>
      <w:bookmarkStart w:id="545" w:name="_Toc32619"/>
      <w:bookmarkStart w:id="546" w:name="_Toc1057"/>
      <w:r>
        <w:rPr>
          <w:rFonts w:hint="eastAsia" w:ascii="仿宋_GB2312" w:hAnsi="仿宋_GB2312" w:eastAsia="仿宋_GB2312" w:cs="仿宋_GB2312"/>
          <w:color w:val="000000"/>
          <w:sz w:val="32"/>
          <w:szCs w:val="32"/>
        </w:rPr>
        <w:t>（9）推荐的中标候选人名单与签订合同前要处理的事宜；</w:t>
      </w:r>
      <w:bookmarkEnd w:id="545"/>
      <w:bookmarkEnd w:id="546"/>
    </w:p>
    <w:p w14:paraId="1D549ABF">
      <w:pPr>
        <w:pStyle w:val="26"/>
        <w:widowControl/>
        <w:spacing w:before="0" w:line="592" w:lineRule="exact"/>
        <w:ind w:firstLine="640" w:firstLineChars="200"/>
        <w:rPr>
          <w:rFonts w:ascii="仿宋_GB2312" w:hAnsi="仿宋_GB2312" w:eastAsia="仿宋_GB2312" w:cs="仿宋_GB2312"/>
          <w:color w:val="000000"/>
          <w:sz w:val="32"/>
          <w:szCs w:val="32"/>
        </w:rPr>
      </w:pPr>
      <w:bookmarkStart w:id="547" w:name="_Toc14980"/>
      <w:bookmarkStart w:id="548" w:name="_Toc5388"/>
      <w:r>
        <w:rPr>
          <w:rFonts w:hint="eastAsia" w:ascii="仿宋_GB2312" w:hAnsi="仿宋_GB2312" w:eastAsia="仿宋_GB2312" w:cs="仿宋_GB2312"/>
          <w:color w:val="000000"/>
          <w:sz w:val="32"/>
          <w:szCs w:val="32"/>
        </w:rPr>
        <w:t>（10）澄清、说明、补正事项纪要。</w:t>
      </w:r>
      <w:bookmarkEnd w:id="547"/>
      <w:bookmarkEnd w:id="548"/>
    </w:p>
    <w:p w14:paraId="51C14C81">
      <w:pPr>
        <w:pStyle w:val="26"/>
        <w:widowControl/>
        <w:spacing w:before="0" w:line="592" w:lineRule="exact"/>
        <w:ind w:firstLine="640" w:firstLineChars="200"/>
        <w:rPr>
          <w:rFonts w:ascii="仿宋_GB2312" w:hAnsi="仿宋_GB2312" w:eastAsia="仿宋_GB2312" w:cs="仿宋_GB2312"/>
          <w:color w:val="000000"/>
          <w:sz w:val="32"/>
          <w:szCs w:val="32"/>
        </w:rPr>
      </w:pPr>
      <w:bookmarkStart w:id="549" w:name="_Toc22307"/>
      <w:bookmarkStart w:id="550" w:name="_Toc32651"/>
      <w:r>
        <w:rPr>
          <w:rFonts w:hint="eastAsia" w:ascii="仿宋_GB2312" w:hAnsi="仿宋_GB2312" w:eastAsia="仿宋_GB2312" w:cs="仿宋_GB2312"/>
          <w:color w:val="000000"/>
          <w:sz w:val="32"/>
          <w:szCs w:val="32"/>
        </w:rPr>
        <w:t>7.1.4评标报告由评标委员会全体成员签字。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bookmarkEnd w:id="549"/>
      <w:bookmarkEnd w:id="550"/>
    </w:p>
    <w:p w14:paraId="7FA0D6C3">
      <w:pPr>
        <w:pStyle w:val="26"/>
        <w:widowControl/>
        <w:spacing w:before="0" w:line="592" w:lineRule="exact"/>
        <w:ind w:firstLine="640" w:firstLineChars="200"/>
        <w:rPr>
          <w:rFonts w:ascii="仿宋_GB2312" w:hAnsi="仿宋_GB2312" w:eastAsia="仿宋_GB2312" w:cs="仿宋_GB2312"/>
          <w:color w:val="000000"/>
          <w:sz w:val="32"/>
          <w:szCs w:val="32"/>
        </w:rPr>
      </w:pPr>
      <w:bookmarkStart w:id="551" w:name="_Toc478"/>
      <w:bookmarkStart w:id="552" w:name="_Toc15011"/>
      <w:r>
        <w:rPr>
          <w:rFonts w:hint="eastAsia" w:ascii="仿宋_GB2312" w:hAnsi="仿宋_GB2312" w:eastAsia="仿宋_GB2312" w:cs="仿宋_GB2312"/>
          <w:color w:val="000000"/>
          <w:sz w:val="32"/>
          <w:szCs w:val="32"/>
        </w:rPr>
        <w:t>7.1.5向招标人提交书面评标报告后，评标委员会即告解散。招标人根据评标报告中推荐的中标候选人择优推荐，按流程报批后确定中标人。</w:t>
      </w:r>
      <w:bookmarkEnd w:id="551"/>
      <w:bookmarkEnd w:id="552"/>
    </w:p>
    <w:p w14:paraId="585BF83D">
      <w:pPr>
        <w:pStyle w:val="26"/>
        <w:widowControl/>
        <w:spacing w:before="0" w:line="592" w:lineRule="exact"/>
        <w:ind w:firstLine="640" w:firstLineChars="200"/>
        <w:rPr>
          <w:rFonts w:ascii="仿宋_GB2312" w:hAnsi="仿宋_GB2312" w:eastAsia="仿宋_GB2312" w:cs="仿宋_GB2312"/>
          <w:color w:val="000000"/>
          <w:sz w:val="32"/>
          <w:szCs w:val="32"/>
        </w:rPr>
      </w:pPr>
      <w:bookmarkStart w:id="553" w:name="_Toc14844"/>
      <w:bookmarkStart w:id="554" w:name="_Toc10662"/>
      <w:r>
        <w:rPr>
          <w:rFonts w:hint="eastAsia" w:ascii="仿宋_GB2312" w:hAnsi="仿宋_GB2312" w:eastAsia="仿宋_GB2312" w:cs="仿宋_GB2312"/>
          <w:color w:val="000000"/>
          <w:sz w:val="32"/>
          <w:szCs w:val="32"/>
        </w:rPr>
        <w:t>7.1.6评标委员会经评审，认为所有投标都不符合招标文件要求的，可以否决所有投标。所有投标被否决后，招标人应当依法重新招标。</w:t>
      </w:r>
      <w:bookmarkEnd w:id="553"/>
      <w:bookmarkEnd w:id="554"/>
    </w:p>
    <w:p w14:paraId="5B4F30AC">
      <w:pPr>
        <w:pStyle w:val="26"/>
        <w:widowControl/>
        <w:spacing w:before="0" w:line="592" w:lineRule="exact"/>
        <w:ind w:firstLine="640" w:firstLineChars="200"/>
        <w:rPr>
          <w:rFonts w:ascii="仿宋_GB2312" w:hAnsi="仿宋_GB2312" w:eastAsia="仿宋_GB2312" w:cs="仿宋_GB2312"/>
          <w:color w:val="000000"/>
          <w:sz w:val="32"/>
          <w:szCs w:val="32"/>
        </w:rPr>
      </w:pPr>
      <w:bookmarkStart w:id="555" w:name="_Toc2422"/>
      <w:bookmarkStart w:id="556" w:name="_Toc31891"/>
      <w:r>
        <w:rPr>
          <w:rFonts w:hint="eastAsia" w:ascii="仿宋_GB2312" w:hAnsi="仿宋_GB2312" w:eastAsia="仿宋_GB2312" w:cs="仿宋_GB2312"/>
          <w:color w:val="000000"/>
          <w:sz w:val="32"/>
          <w:szCs w:val="32"/>
        </w:rPr>
        <w:t>7.1.7特殊情况的处置程序</w:t>
      </w:r>
      <w:bookmarkEnd w:id="555"/>
      <w:bookmarkEnd w:id="556"/>
    </w:p>
    <w:p w14:paraId="080B21A3">
      <w:pPr>
        <w:pStyle w:val="26"/>
        <w:widowControl/>
        <w:spacing w:before="0" w:line="592" w:lineRule="exact"/>
        <w:ind w:firstLine="640" w:firstLineChars="200"/>
        <w:rPr>
          <w:rFonts w:ascii="仿宋_GB2312" w:hAnsi="仿宋_GB2312" w:eastAsia="仿宋_GB2312" w:cs="仿宋_GB2312"/>
          <w:color w:val="000000"/>
          <w:sz w:val="32"/>
          <w:szCs w:val="32"/>
        </w:rPr>
      </w:pPr>
      <w:bookmarkStart w:id="557" w:name="_Toc30806"/>
      <w:bookmarkStart w:id="558" w:name="_Toc31289"/>
      <w:r>
        <w:rPr>
          <w:rFonts w:hint="eastAsia" w:ascii="仿宋_GB2312" w:hAnsi="仿宋_GB2312" w:eastAsia="仿宋_GB2312" w:cs="仿宋_GB2312"/>
          <w:color w:val="000000"/>
          <w:sz w:val="32"/>
          <w:szCs w:val="32"/>
        </w:rPr>
        <w:t>7.1.7.1关于评标活动暂停</w:t>
      </w:r>
      <w:bookmarkEnd w:id="557"/>
      <w:bookmarkEnd w:id="558"/>
    </w:p>
    <w:p w14:paraId="2E1613F4">
      <w:pPr>
        <w:pStyle w:val="26"/>
        <w:widowControl/>
        <w:spacing w:before="0" w:line="592" w:lineRule="exact"/>
        <w:ind w:firstLine="640" w:firstLineChars="200"/>
        <w:rPr>
          <w:rFonts w:ascii="仿宋_GB2312" w:hAnsi="仿宋_GB2312" w:eastAsia="仿宋_GB2312" w:cs="仿宋_GB2312"/>
          <w:color w:val="000000"/>
          <w:sz w:val="32"/>
          <w:szCs w:val="32"/>
        </w:rPr>
      </w:pPr>
      <w:bookmarkStart w:id="559" w:name="_Toc30280"/>
      <w:bookmarkStart w:id="560" w:name="_Toc27173"/>
      <w:r>
        <w:rPr>
          <w:rFonts w:hint="eastAsia" w:ascii="仿宋_GB2312" w:hAnsi="仿宋_GB2312" w:eastAsia="仿宋_GB2312" w:cs="仿宋_GB2312"/>
          <w:color w:val="000000"/>
          <w:sz w:val="32"/>
          <w:szCs w:val="32"/>
        </w:rPr>
        <w:t>评标委员会应当执行连续评标的原则，按评标办法中规定的程序、内容、方法、标准完成全部评标工作。只有发生不可抗力导致评标工作无法继续时，评标活动方可暂停。</w:t>
      </w:r>
      <w:bookmarkEnd w:id="559"/>
      <w:bookmarkEnd w:id="560"/>
    </w:p>
    <w:p w14:paraId="200831CA">
      <w:pPr>
        <w:pStyle w:val="26"/>
        <w:widowControl/>
        <w:spacing w:before="0" w:line="592" w:lineRule="exact"/>
        <w:ind w:firstLine="640" w:firstLineChars="200"/>
        <w:rPr>
          <w:rFonts w:ascii="仿宋_GB2312" w:hAnsi="仿宋_GB2312" w:eastAsia="仿宋_GB2312" w:cs="仿宋_GB2312"/>
          <w:color w:val="000000"/>
          <w:sz w:val="32"/>
          <w:szCs w:val="32"/>
        </w:rPr>
      </w:pPr>
      <w:bookmarkStart w:id="561" w:name="_Toc23110"/>
      <w:bookmarkStart w:id="562" w:name="_Toc5731"/>
      <w:r>
        <w:rPr>
          <w:rFonts w:hint="eastAsia" w:ascii="仿宋_GB2312" w:hAnsi="仿宋_GB2312" w:eastAsia="仿宋_GB2312" w:cs="仿宋_GB2312"/>
          <w:color w:val="000000"/>
          <w:sz w:val="32"/>
          <w:szCs w:val="32"/>
        </w:rPr>
        <w:t>发生评标暂停情况时，评标委员会应当封存全部投标文件和评标记录，待不可抗力的影响结束且具备继续评标的条件时，由原评标委员会继续评标。</w:t>
      </w:r>
      <w:bookmarkEnd w:id="561"/>
      <w:bookmarkEnd w:id="562"/>
    </w:p>
    <w:p w14:paraId="756AC40F">
      <w:pPr>
        <w:pStyle w:val="26"/>
        <w:widowControl/>
        <w:spacing w:before="0" w:line="592" w:lineRule="exact"/>
        <w:ind w:firstLine="640" w:firstLineChars="200"/>
        <w:rPr>
          <w:rFonts w:ascii="仿宋_GB2312" w:hAnsi="仿宋_GB2312" w:eastAsia="仿宋_GB2312" w:cs="仿宋_GB2312"/>
          <w:color w:val="000000"/>
          <w:sz w:val="32"/>
          <w:szCs w:val="32"/>
        </w:rPr>
      </w:pPr>
      <w:bookmarkStart w:id="563" w:name="_Toc14811"/>
      <w:bookmarkStart w:id="564" w:name="_Toc7227"/>
      <w:r>
        <w:rPr>
          <w:rFonts w:hint="eastAsia" w:ascii="仿宋_GB2312" w:hAnsi="仿宋_GB2312" w:eastAsia="仿宋_GB2312" w:cs="仿宋_GB2312"/>
          <w:color w:val="000000"/>
          <w:sz w:val="32"/>
          <w:szCs w:val="32"/>
        </w:rPr>
        <w:t>7.1.7.2关于评标中途更换评委</w:t>
      </w:r>
      <w:bookmarkEnd w:id="563"/>
      <w:bookmarkEnd w:id="564"/>
    </w:p>
    <w:p w14:paraId="1BF05DB3">
      <w:pPr>
        <w:pStyle w:val="26"/>
        <w:widowControl/>
        <w:spacing w:before="0" w:line="592" w:lineRule="exact"/>
        <w:ind w:firstLine="640" w:firstLineChars="200"/>
        <w:rPr>
          <w:rFonts w:ascii="仿宋_GB2312" w:hAnsi="仿宋_GB2312" w:eastAsia="仿宋_GB2312" w:cs="仿宋_GB2312"/>
          <w:color w:val="000000"/>
          <w:sz w:val="32"/>
          <w:szCs w:val="32"/>
        </w:rPr>
      </w:pPr>
      <w:bookmarkStart w:id="565" w:name="_Toc26941"/>
      <w:bookmarkStart w:id="566" w:name="_Toc3912"/>
      <w:r>
        <w:rPr>
          <w:rFonts w:hint="eastAsia" w:ascii="仿宋_GB2312" w:hAnsi="仿宋_GB2312" w:eastAsia="仿宋_GB2312" w:cs="仿宋_GB2312"/>
          <w:color w:val="000000"/>
          <w:sz w:val="32"/>
          <w:szCs w:val="32"/>
        </w:rPr>
        <w:t>除非发生下列情况之一，评标委员会成员不得在评标中途更换：</w:t>
      </w:r>
      <w:bookmarkEnd w:id="565"/>
      <w:bookmarkEnd w:id="566"/>
    </w:p>
    <w:p w14:paraId="6F476561">
      <w:pPr>
        <w:pStyle w:val="26"/>
        <w:widowControl/>
        <w:spacing w:before="0" w:line="592" w:lineRule="exact"/>
        <w:ind w:firstLine="640" w:firstLineChars="200"/>
        <w:rPr>
          <w:rFonts w:ascii="仿宋_GB2312" w:hAnsi="仿宋_GB2312" w:eastAsia="仿宋_GB2312" w:cs="仿宋_GB2312"/>
          <w:color w:val="000000"/>
          <w:sz w:val="32"/>
          <w:szCs w:val="32"/>
        </w:rPr>
      </w:pPr>
      <w:bookmarkStart w:id="567" w:name="_Toc29572"/>
      <w:bookmarkStart w:id="568" w:name="_Toc26159"/>
      <w:r>
        <w:rPr>
          <w:rFonts w:hint="eastAsia" w:ascii="仿宋_GB2312" w:hAnsi="仿宋_GB2312" w:eastAsia="仿宋_GB2312" w:cs="仿宋_GB2312"/>
          <w:color w:val="000000"/>
          <w:sz w:val="32"/>
          <w:szCs w:val="32"/>
        </w:rPr>
        <w:t>（1）因不可抗拒的客观原因，不能到场或需在评标中途退出评标活动。</w:t>
      </w:r>
      <w:bookmarkEnd w:id="567"/>
      <w:bookmarkEnd w:id="568"/>
    </w:p>
    <w:p w14:paraId="210933C6">
      <w:pPr>
        <w:pStyle w:val="26"/>
        <w:widowControl/>
        <w:spacing w:before="0" w:line="592" w:lineRule="exact"/>
        <w:ind w:firstLine="640" w:firstLineChars="200"/>
        <w:rPr>
          <w:rFonts w:ascii="仿宋_GB2312" w:hAnsi="仿宋_GB2312" w:eastAsia="仿宋_GB2312" w:cs="仿宋_GB2312"/>
          <w:color w:val="000000"/>
          <w:sz w:val="32"/>
          <w:szCs w:val="32"/>
        </w:rPr>
      </w:pPr>
      <w:bookmarkStart w:id="569" w:name="_Toc17151"/>
      <w:bookmarkStart w:id="570" w:name="_Toc22496"/>
      <w:r>
        <w:rPr>
          <w:rFonts w:hint="eastAsia" w:ascii="仿宋_GB2312" w:hAnsi="仿宋_GB2312" w:eastAsia="仿宋_GB2312" w:cs="仿宋_GB2312"/>
          <w:color w:val="000000"/>
          <w:sz w:val="32"/>
          <w:szCs w:val="32"/>
        </w:rPr>
        <w:t>（2）根据法律法规规定，某个或某几个评标委员会成员需要回避。</w:t>
      </w:r>
      <w:bookmarkEnd w:id="569"/>
      <w:bookmarkEnd w:id="570"/>
    </w:p>
    <w:p w14:paraId="7913FE61">
      <w:pPr>
        <w:pStyle w:val="26"/>
        <w:widowControl/>
        <w:spacing w:before="0" w:line="592" w:lineRule="exact"/>
        <w:ind w:firstLine="640" w:firstLineChars="200"/>
        <w:rPr>
          <w:rFonts w:ascii="仿宋_GB2312" w:hAnsi="仿宋_GB2312" w:eastAsia="仿宋_GB2312" w:cs="仿宋_GB2312"/>
          <w:color w:val="000000"/>
          <w:sz w:val="32"/>
          <w:szCs w:val="32"/>
        </w:rPr>
      </w:pPr>
      <w:bookmarkStart w:id="571" w:name="_Toc782"/>
      <w:bookmarkStart w:id="572" w:name="_Toc27598"/>
      <w:r>
        <w:rPr>
          <w:rFonts w:hint="eastAsia" w:ascii="仿宋_GB2312" w:hAnsi="仿宋_GB2312" w:eastAsia="仿宋_GB2312" w:cs="仿宋_GB2312"/>
          <w:color w:val="000000"/>
          <w:sz w:val="32"/>
          <w:szCs w:val="32"/>
        </w:rPr>
        <w:t>退出评标的评标委员会成员，其已完成的评标行为无效。由招标人根据本招标文件规定的评标委员会成员产生方式另行确定替代者进行评标。</w:t>
      </w:r>
      <w:bookmarkEnd w:id="571"/>
      <w:bookmarkEnd w:id="572"/>
    </w:p>
    <w:p w14:paraId="0F12CC12">
      <w:pPr>
        <w:pStyle w:val="26"/>
        <w:widowControl/>
        <w:spacing w:before="0" w:line="592" w:lineRule="exact"/>
        <w:ind w:firstLine="640" w:firstLineChars="200"/>
        <w:rPr>
          <w:rFonts w:ascii="仿宋_GB2312" w:hAnsi="仿宋_GB2312" w:eastAsia="仿宋_GB2312" w:cs="仿宋_GB2312"/>
          <w:color w:val="000000"/>
          <w:sz w:val="32"/>
          <w:szCs w:val="32"/>
        </w:rPr>
      </w:pPr>
      <w:bookmarkStart w:id="573" w:name="_Toc2830"/>
      <w:bookmarkStart w:id="574" w:name="_Toc20595"/>
      <w:r>
        <w:rPr>
          <w:rFonts w:hint="eastAsia" w:ascii="仿宋_GB2312" w:hAnsi="仿宋_GB2312" w:eastAsia="仿宋_GB2312" w:cs="仿宋_GB2312"/>
          <w:color w:val="000000"/>
          <w:sz w:val="32"/>
          <w:szCs w:val="32"/>
        </w:rPr>
        <w:t>7.1.7.3关于记名投票表决评审结论</w:t>
      </w:r>
      <w:bookmarkEnd w:id="573"/>
      <w:bookmarkEnd w:id="574"/>
    </w:p>
    <w:p w14:paraId="5F2B99B1">
      <w:pPr>
        <w:pStyle w:val="26"/>
        <w:widowControl/>
        <w:spacing w:before="0" w:line="592" w:lineRule="exact"/>
        <w:ind w:firstLine="640" w:firstLineChars="200"/>
        <w:rPr>
          <w:rFonts w:ascii="仿宋_GB2312" w:hAnsi="仿宋_GB2312" w:eastAsia="仿宋_GB2312" w:cs="仿宋_GB2312"/>
          <w:color w:val="000000"/>
          <w:sz w:val="32"/>
          <w:szCs w:val="32"/>
        </w:rPr>
      </w:pPr>
      <w:bookmarkStart w:id="575" w:name="_Toc24440"/>
      <w:bookmarkStart w:id="576" w:name="_Toc28388"/>
      <w:r>
        <w:rPr>
          <w:rFonts w:hint="eastAsia" w:ascii="仿宋_GB2312" w:hAnsi="仿宋_GB2312" w:eastAsia="仿宋_GB2312" w:cs="仿宋_GB2312"/>
          <w:color w:val="000000"/>
          <w:sz w:val="32"/>
          <w:szCs w:val="32"/>
        </w:rPr>
        <w:t>在任何评标环节中，需评标委员会就某项定性的评审结论做出表决的，由评标委员会全体成员按照少数服从多数的原则，以记名投票方式表决。</w:t>
      </w:r>
      <w:bookmarkEnd w:id="575"/>
      <w:bookmarkEnd w:id="576"/>
    </w:p>
    <w:p w14:paraId="26B3FC43">
      <w:pPr>
        <w:pStyle w:val="26"/>
        <w:widowControl/>
        <w:spacing w:before="0" w:line="592" w:lineRule="exact"/>
        <w:ind w:firstLine="640" w:firstLineChars="200"/>
        <w:rPr>
          <w:rFonts w:ascii="仿宋_GB2312" w:hAnsi="仿宋_GB2312" w:eastAsia="仿宋_GB2312" w:cs="仿宋_GB2312"/>
          <w:color w:val="000000"/>
          <w:sz w:val="32"/>
          <w:szCs w:val="32"/>
        </w:rPr>
      </w:pPr>
      <w:bookmarkStart w:id="577" w:name="_Toc25950"/>
      <w:bookmarkStart w:id="578" w:name="_Toc13548"/>
      <w:bookmarkStart w:id="579" w:name="_Toc3626"/>
      <w:r>
        <w:rPr>
          <w:rFonts w:hint="eastAsia" w:ascii="仿宋_GB2312" w:hAnsi="仿宋_GB2312" w:eastAsia="仿宋_GB2312" w:cs="仿宋_GB2312"/>
          <w:color w:val="000000"/>
          <w:sz w:val="32"/>
          <w:szCs w:val="32"/>
        </w:rPr>
        <w:t>7.2中标通知</w:t>
      </w:r>
      <w:bookmarkEnd w:id="577"/>
      <w:bookmarkEnd w:id="578"/>
      <w:bookmarkEnd w:id="579"/>
    </w:p>
    <w:p w14:paraId="61E14B76">
      <w:pPr>
        <w:pStyle w:val="26"/>
        <w:widowControl/>
        <w:spacing w:before="0" w:line="592" w:lineRule="exact"/>
        <w:ind w:firstLine="640" w:firstLineChars="200"/>
        <w:rPr>
          <w:rFonts w:ascii="仿宋_GB2312" w:hAnsi="仿宋_GB2312" w:eastAsia="仿宋_GB2312" w:cs="仿宋_GB2312"/>
          <w:color w:val="000000"/>
          <w:sz w:val="32"/>
          <w:szCs w:val="32"/>
        </w:rPr>
      </w:pPr>
      <w:bookmarkStart w:id="580" w:name="_Toc27315"/>
      <w:bookmarkStart w:id="581" w:name="_Toc10170"/>
      <w:r>
        <w:rPr>
          <w:rFonts w:hint="eastAsia" w:ascii="仿宋_GB2312" w:hAnsi="仿宋_GB2312" w:eastAsia="仿宋_GB2312" w:cs="仿宋_GB2312"/>
          <w:color w:val="000000"/>
          <w:sz w:val="32"/>
          <w:szCs w:val="32"/>
        </w:rPr>
        <w:t>7.2.1依法必须进行招标的项目，公示期不得少于3个工作日。公示期满未有异议，招标人以《中标通知书》的方式通知中标人其投标被接受。</w:t>
      </w:r>
      <w:bookmarkEnd w:id="580"/>
      <w:bookmarkEnd w:id="581"/>
    </w:p>
    <w:p w14:paraId="1B18E5C1">
      <w:pPr>
        <w:pStyle w:val="26"/>
        <w:widowControl/>
        <w:spacing w:before="0" w:line="592" w:lineRule="exact"/>
        <w:ind w:firstLine="640" w:firstLineChars="200"/>
        <w:rPr>
          <w:rFonts w:ascii="仿宋_GB2312" w:hAnsi="仿宋_GB2312" w:eastAsia="仿宋_GB2312" w:cs="仿宋_GB2312"/>
          <w:color w:val="000000"/>
          <w:sz w:val="32"/>
          <w:szCs w:val="32"/>
        </w:rPr>
      </w:pPr>
      <w:bookmarkStart w:id="582" w:name="_Toc5611"/>
      <w:bookmarkStart w:id="583" w:name="_Toc23997"/>
      <w:r>
        <w:rPr>
          <w:rFonts w:hint="eastAsia" w:ascii="仿宋_GB2312" w:hAnsi="仿宋_GB2312" w:eastAsia="仿宋_GB2312" w:cs="仿宋_GB2312"/>
          <w:color w:val="000000"/>
          <w:sz w:val="32"/>
          <w:szCs w:val="32"/>
        </w:rPr>
        <w:t>7.2.2《中标通知书》将作为施工合同的组成部分。中标通知书发出后，招标人改变中标结果的，或者中标人放弃中标的，应当依法承担法律责任。</w:t>
      </w:r>
      <w:bookmarkEnd w:id="582"/>
      <w:bookmarkEnd w:id="583"/>
    </w:p>
    <w:p w14:paraId="2532E891">
      <w:pPr>
        <w:pStyle w:val="26"/>
        <w:widowControl/>
        <w:spacing w:before="0" w:line="592" w:lineRule="exact"/>
        <w:ind w:firstLine="640" w:firstLineChars="200"/>
        <w:rPr>
          <w:rFonts w:ascii="仿宋_GB2312" w:hAnsi="仿宋_GB2312" w:eastAsia="仿宋_GB2312" w:cs="仿宋_GB2312"/>
          <w:color w:val="000000"/>
          <w:sz w:val="32"/>
          <w:szCs w:val="32"/>
        </w:rPr>
      </w:pPr>
      <w:bookmarkStart w:id="584" w:name="_Toc25066"/>
      <w:bookmarkStart w:id="585" w:name="_Toc14628"/>
      <w:bookmarkStart w:id="586" w:name="_Toc8635"/>
      <w:r>
        <w:rPr>
          <w:rFonts w:hint="eastAsia" w:ascii="仿宋_GB2312" w:hAnsi="仿宋_GB2312" w:eastAsia="仿宋_GB2312" w:cs="仿宋_GB2312"/>
          <w:color w:val="000000"/>
          <w:sz w:val="32"/>
          <w:szCs w:val="32"/>
        </w:rPr>
        <w:t>7.3 履约担保</w:t>
      </w:r>
      <w:bookmarkEnd w:id="584"/>
      <w:bookmarkEnd w:id="585"/>
      <w:bookmarkEnd w:id="586"/>
    </w:p>
    <w:p w14:paraId="2D10D925">
      <w:pPr>
        <w:pStyle w:val="26"/>
        <w:widowControl/>
        <w:spacing w:before="0" w:line="592" w:lineRule="exact"/>
        <w:ind w:firstLine="640" w:firstLineChars="200"/>
        <w:rPr>
          <w:rFonts w:ascii="仿宋_GB2312" w:hAnsi="仿宋_GB2312" w:eastAsia="仿宋_GB2312" w:cs="仿宋_GB2312"/>
          <w:color w:val="000000"/>
          <w:sz w:val="32"/>
          <w:szCs w:val="32"/>
        </w:rPr>
      </w:pPr>
      <w:bookmarkStart w:id="587" w:name="_Toc4238"/>
      <w:bookmarkStart w:id="588" w:name="_Toc9752"/>
      <w:r>
        <w:rPr>
          <w:rFonts w:hint="eastAsia" w:ascii="仿宋_GB2312" w:hAnsi="仿宋_GB2312" w:eastAsia="仿宋_GB2312" w:cs="仿宋_GB2312"/>
          <w:color w:val="000000"/>
          <w:sz w:val="32"/>
          <w:szCs w:val="32"/>
        </w:rPr>
        <w:t>详见投标人须知前附表。</w:t>
      </w:r>
      <w:bookmarkEnd w:id="587"/>
      <w:bookmarkEnd w:id="588"/>
    </w:p>
    <w:p w14:paraId="7A672B71">
      <w:pPr>
        <w:pStyle w:val="26"/>
        <w:widowControl/>
        <w:spacing w:before="0" w:line="592" w:lineRule="exact"/>
        <w:ind w:firstLine="640" w:firstLineChars="200"/>
        <w:rPr>
          <w:rFonts w:ascii="仿宋_GB2312" w:hAnsi="仿宋_GB2312" w:eastAsia="仿宋_GB2312" w:cs="仿宋_GB2312"/>
          <w:color w:val="000000"/>
          <w:sz w:val="32"/>
          <w:szCs w:val="32"/>
        </w:rPr>
      </w:pPr>
      <w:bookmarkStart w:id="589" w:name="_Toc28937"/>
      <w:bookmarkStart w:id="590" w:name="_Toc21386"/>
      <w:bookmarkStart w:id="591" w:name="_Toc26525"/>
      <w:r>
        <w:rPr>
          <w:rFonts w:hint="eastAsia" w:ascii="仿宋_GB2312" w:hAnsi="仿宋_GB2312" w:eastAsia="仿宋_GB2312" w:cs="仿宋_GB2312"/>
          <w:color w:val="000000"/>
          <w:sz w:val="32"/>
          <w:szCs w:val="32"/>
        </w:rPr>
        <w:t>7.4 签订合同</w:t>
      </w:r>
      <w:bookmarkEnd w:id="589"/>
      <w:bookmarkEnd w:id="590"/>
      <w:bookmarkEnd w:id="591"/>
    </w:p>
    <w:p w14:paraId="62FA876F">
      <w:pPr>
        <w:pStyle w:val="26"/>
        <w:widowControl/>
        <w:spacing w:before="0" w:line="592" w:lineRule="exact"/>
        <w:ind w:firstLine="640" w:firstLineChars="200"/>
        <w:rPr>
          <w:rFonts w:ascii="仿宋_GB2312" w:hAnsi="仿宋_GB2312" w:eastAsia="仿宋_GB2312" w:cs="仿宋_GB2312"/>
          <w:color w:val="000000"/>
          <w:sz w:val="32"/>
          <w:szCs w:val="32"/>
        </w:rPr>
      </w:pPr>
      <w:bookmarkStart w:id="592" w:name="_Toc22988"/>
      <w:bookmarkStart w:id="593" w:name="_Toc15353"/>
      <w:r>
        <w:rPr>
          <w:rFonts w:hint="eastAsia" w:ascii="仿宋_GB2312" w:hAnsi="仿宋_GB2312" w:eastAsia="仿宋_GB2312" w:cs="仿宋_GB2312"/>
          <w:color w:val="000000"/>
          <w:sz w:val="32"/>
          <w:szCs w:val="32"/>
        </w:rPr>
        <w:t>7.4.1招标人与中标人应自中标通知书发出之日起10日内，按照招标文件和中标人的投标文件订立书面合同。</w:t>
      </w:r>
      <w:bookmarkEnd w:id="592"/>
      <w:bookmarkEnd w:id="593"/>
    </w:p>
    <w:p w14:paraId="402A910E">
      <w:pPr>
        <w:pStyle w:val="26"/>
        <w:widowControl/>
        <w:spacing w:before="0" w:line="592" w:lineRule="exact"/>
        <w:ind w:firstLine="640" w:firstLineChars="200"/>
        <w:rPr>
          <w:rFonts w:ascii="仿宋_GB2312" w:hAnsi="仿宋_GB2312" w:eastAsia="仿宋_GB2312" w:cs="仿宋_GB2312"/>
          <w:color w:val="000000"/>
          <w:sz w:val="32"/>
          <w:szCs w:val="32"/>
        </w:rPr>
      </w:pPr>
      <w:bookmarkStart w:id="594" w:name="_Toc7680"/>
      <w:bookmarkStart w:id="595" w:name="_Toc3505"/>
      <w:r>
        <w:rPr>
          <w:rFonts w:hint="eastAsia" w:ascii="仿宋_GB2312" w:hAnsi="仿宋_GB2312" w:eastAsia="仿宋_GB2312" w:cs="仿宋_GB2312"/>
          <w:color w:val="000000"/>
          <w:sz w:val="32"/>
          <w:szCs w:val="32"/>
        </w:rPr>
        <w:t>7.4.2中标人如不按本招标文件的规定与招标人订立合同，则招标人将取消其中标资格，投标保证金不予退还，给招标人造成的损失超过投标保证金数额的，还应当对超出部分予以赔偿，并依法承担相应的法律责任。</w:t>
      </w:r>
      <w:bookmarkEnd w:id="594"/>
      <w:bookmarkEnd w:id="595"/>
    </w:p>
    <w:p w14:paraId="3C0B96DC">
      <w:pPr>
        <w:pStyle w:val="26"/>
        <w:widowControl/>
        <w:spacing w:before="0" w:line="592" w:lineRule="exact"/>
        <w:ind w:firstLine="640" w:firstLineChars="200"/>
        <w:rPr>
          <w:rFonts w:ascii="仿宋_GB2312" w:hAnsi="仿宋_GB2312" w:eastAsia="仿宋_GB2312" w:cs="仿宋_GB2312"/>
          <w:color w:val="000000"/>
          <w:sz w:val="32"/>
          <w:szCs w:val="32"/>
        </w:rPr>
      </w:pPr>
      <w:bookmarkStart w:id="596" w:name="_Toc1702"/>
      <w:bookmarkStart w:id="597" w:name="_Toc22410"/>
      <w:r>
        <w:rPr>
          <w:rFonts w:hint="eastAsia" w:ascii="仿宋_GB2312" w:hAnsi="仿宋_GB2312" w:eastAsia="仿宋_GB2312" w:cs="仿宋_GB2312"/>
          <w:color w:val="000000"/>
          <w:sz w:val="32"/>
          <w:szCs w:val="32"/>
        </w:rPr>
        <w:t>7.4.3 发出中标通知书后，招标人无正当理由拒签合同的，给中标人造成损失的，还应当赔偿损失。</w:t>
      </w:r>
      <w:bookmarkEnd w:id="596"/>
      <w:bookmarkEnd w:id="597"/>
    </w:p>
    <w:p w14:paraId="23A7486C">
      <w:pPr>
        <w:pStyle w:val="26"/>
        <w:widowControl/>
        <w:spacing w:before="0" w:line="592" w:lineRule="exact"/>
        <w:ind w:firstLine="640" w:firstLineChars="200"/>
        <w:rPr>
          <w:rFonts w:ascii="仿宋_GB2312" w:hAnsi="仿宋_GB2312" w:eastAsia="仿宋_GB2312" w:cs="仿宋_GB2312"/>
          <w:color w:val="000000"/>
          <w:sz w:val="32"/>
          <w:szCs w:val="32"/>
        </w:rPr>
      </w:pPr>
      <w:bookmarkStart w:id="598" w:name="_Toc21818"/>
      <w:bookmarkStart w:id="599" w:name="_Toc71"/>
      <w:r>
        <w:rPr>
          <w:rFonts w:hint="eastAsia" w:ascii="仿宋_GB2312" w:hAnsi="仿宋_GB2312" w:eastAsia="仿宋_GB2312" w:cs="仿宋_GB2312"/>
          <w:color w:val="000000"/>
          <w:sz w:val="32"/>
          <w:szCs w:val="32"/>
        </w:rPr>
        <w:t>7.4.4中标人应当按照合同约定履行义务，完成中标项目，不得将中标项目转包或违规分包。否则，将依照相关法律法规进行处理。</w:t>
      </w:r>
      <w:bookmarkEnd w:id="598"/>
      <w:bookmarkEnd w:id="599"/>
    </w:p>
    <w:p w14:paraId="63920A2F">
      <w:pPr>
        <w:pStyle w:val="26"/>
        <w:widowControl/>
        <w:spacing w:before="0" w:line="592" w:lineRule="exact"/>
        <w:ind w:firstLine="640" w:firstLineChars="200"/>
        <w:rPr>
          <w:rFonts w:ascii="仿宋_GB2312" w:hAnsi="仿宋_GB2312" w:eastAsia="仿宋_GB2312" w:cs="仿宋_GB2312"/>
          <w:color w:val="000000"/>
          <w:sz w:val="32"/>
          <w:szCs w:val="32"/>
        </w:rPr>
      </w:pPr>
      <w:bookmarkStart w:id="600" w:name="_Toc16024"/>
      <w:bookmarkStart w:id="601" w:name="_Toc16815"/>
      <w:r>
        <w:rPr>
          <w:rFonts w:hint="eastAsia" w:ascii="仿宋_GB2312" w:hAnsi="仿宋_GB2312" w:eastAsia="仿宋_GB2312" w:cs="仿宋_GB2312"/>
          <w:color w:val="000000"/>
          <w:sz w:val="32"/>
          <w:szCs w:val="32"/>
        </w:rPr>
        <w:t>7.4.5中标人于中标通知书签订之日起按照最新图纸、竞争谈判中的报价文件等调整最终报价，并经招标人审计监察部门认可。招标人与中标人按照调整后的最终报价文件签订建设工程合同。</w:t>
      </w:r>
      <w:bookmarkEnd w:id="600"/>
      <w:bookmarkEnd w:id="601"/>
    </w:p>
    <w:p w14:paraId="749D9AB1">
      <w:pPr>
        <w:pStyle w:val="26"/>
        <w:widowControl/>
        <w:spacing w:before="0" w:line="592" w:lineRule="exact"/>
        <w:ind w:firstLine="640" w:firstLineChars="200"/>
        <w:rPr>
          <w:rFonts w:ascii="仿宋_GB2312" w:hAnsi="仿宋_GB2312" w:eastAsia="仿宋_GB2312" w:cs="仿宋_GB2312"/>
          <w:color w:val="000000"/>
          <w:sz w:val="32"/>
          <w:szCs w:val="32"/>
        </w:rPr>
      </w:pPr>
      <w:bookmarkStart w:id="602" w:name="_Toc24177"/>
      <w:bookmarkStart w:id="603" w:name="_Toc14328"/>
      <w:r>
        <w:rPr>
          <w:rFonts w:hint="eastAsia" w:ascii="仿宋_GB2312" w:hAnsi="仿宋_GB2312" w:eastAsia="仿宋_GB2312" w:cs="仿宋_GB2312"/>
          <w:color w:val="000000"/>
          <w:sz w:val="32"/>
          <w:szCs w:val="32"/>
        </w:rPr>
        <w:t>7.4.6本招标文件有关条款将作为合同的基本条款，如投标人对此有异议，可在招标答疑时提出。如无异议，表示投标人接受和认可文件中条款，不得在中标后签订合同时提出异议，否则将取消中标资格，投标保证金不予退回，由招标人另行确定中标人。</w:t>
      </w:r>
      <w:bookmarkEnd w:id="602"/>
      <w:bookmarkEnd w:id="603"/>
    </w:p>
    <w:p w14:paraId="5D446E89">
      <w:pPr>
        <w:pStyle w:val="26"/>
        <w:widowControl/>
        <w:spacing w:before="0" w:line="592" w:lineRule="exact"/>
        <w:ind w:firstLine="640" w:firstLineChars="200"/>
        <w:rPr>
          <w:rFonts w:ascii="仿宋_GB2312" w:hAnsi="仿宋_GB2312" w:eastAsia="仿宋_GB2312" w:cs="仿宋_GB2312"/>
          <w:color w:val="000000"/>
          <w:sz w:val="32"/>
          <w:szCs w:val="32"/>
        </w:rPr>
      </w:pPr>
      <w:bookmarkStart w:id="604" w:name="_Toc27065"/>
      <w:bookmarkStart w:id="605" w:name="_Toc19729"/>
      <w:r>
        <w:rPr>
          <w:rFonts w:hint="eastAsia" w:ascii="仿宋_GB2312" w:hAnsi="仿宋_GB2312" w:eastAsia="仿宋_GB2312" w:cs="仿宋_GB2312"/>
          <w:color w:val="000000"/>
          <w:sz w:val="32"/>
          <w:szCs w:val="32"/>
        </w:rPr>
        <w:t>7.4.7中标人须在不调整中标总价的前提下，对招标人提出的不平衡报价进行调整，否则招标人有权取消投标人的中标资格。调整后的全费用综合单价作为合同附件，属于合同的组成部分。</w:t>
      </w:r>
      <w:bookmarkEnd w:id="604"/>
      <w:bookmarkEnd w:id="605"/>
    </w:p>
    <w:p w14:paraId="25516FE3">
      <w:pPr>
        <w:pStyle w:val="26"/>
        <w:widowControl/>
        <w:spacing w:before="0" w:line="592" w:lineRule="exact"/>
        <w:ind w:firstLine="640" w:firstLineChars="200"/>
        <w:rPr>
          <w:rFonts w:ascii="仿宋_GB2312" w:hAnsi="仿宋_GB2312" w:eastAsia="仿宋_GB2312" w:cs="仿宋_GB2312"/>
          <w:color w:val="000000"/>
          <w:sz w:val="32"/>
          <w:szCs w:val="32"/>
        </w:rPr>
      </w:pPr>
      <w:bookmarkStart w:id="606" w:name="_Toc19919"/>
      <w:bookmarkStart w:id="607" w:name="_Toc28550"/>
      <w:bookmarkStart w:id="608" w:name="_Toc19308"/>
      <w:r>
        <w:rPr>
          <w:rFonts w:hint="eastAsia" w:ascii="仿宋_GB2312" w:hAnsi="仿宋_GB2312" w:eastAsia="仿宋_GB2312" w:cs="仿宋_GB2312"/>
          <w:color w:val="000000"/>
          <w:sz w:val="32"/>
          <w:szCs w:val="32"/>
        </w:rPr>
        <w:t>8. 重新招标</w:t>
      </w:r>
      <w:bookmarkEnd w:id="606"/>
      <w:bookmarkEnd w:id="607"/>
      <w:bookmarkEnd w:id="608"/>
    </w:p>
    <w:p w14:paraId="403E2371">
      <w:pPr>
        <w:pStyle w:val="26"/>
        <w:widowControl/>
        <w:spacing w:before="0" w:line="592" w:lineRule="exact"/>
        <w:ind w:firstLine="640" w:firstLineChars="200"/>
        <w:rPr>
          <w:rFonts w:ascii="仿宋_GB2312" w:hAnsi="仿宋_GB2312" w:eastAsia="仿宋_GB2312" w:cs="仿宋_GB2312"/>
          <w:color w:val="000000"/>
          <w:sz w:val="32"/>
          <w:szCs w:val="32"/>
        </w:rPr>
      </w:pPr>
      <w:bookmarkStart w:id="609" w:name="_Toc29336"/>
      <w:bookmarkStart w:id="610" w:name="_Toc25376"/>
      <w:bookmarkStart w:id="611" w:name="_Toc1733"/>
      <w:r>
        <w:rPr>
          <w:rFonts w:hint="eastAsia" w:ascii="仿宋_GB2312" w:hAnsi="仿宋_GB2312" w:eastAsia="仿宋_GB2312" w:cs="仿宋_GB2312"/>
          <w:color w:val="000000"/>
          <w:sz w:val="32"/>
          <w:szCs w:val="32"/>
        </w:rPr>
        <w:t>8.1 重新招标</w:t>
      </w:r>
      <w:bookmarkEnd w:id="609"/>
      <w:bookmarkEnd w:id="610"/>
      <w:bookmarkEnd w:id="611"/>
    </w:p>
    <w:p w14:paraId="2AE286EF">
      <w:pPr>
        <w:pStyle w:val="26"/>
        <w:widowControl/>
        <w:spacing w:before="0" w:line="592" w:lineRule="exact"/>
        <w:ind w:firstLine="640" w:firstLineChars="200"/>
        <w:rPr>
          <w:rFonts w:ascii="仿宋_GB2312" w:hAnsi="仿宋_GB2312" w:eastAsia="仿宋_GB2312" w:cs="仿宋_GB2312"/>
          <w:color w:val="000000"/>
          <w:sz w:val="32"/>
          <w:szCs w:val="32"/>
        </w:rPr>
      </w:pPr>
      <w:bookmarkStart w:id="612" w:name="_Toc20297"/>
      <w:bookmarkStart w:id="613" w:name="_Toc15107"/>
      <w:r>
        <w:rPr>
          <w:rFonts w:hint="eastAsia" w:ascii="仿宋_GB2312" w:hAnsi="仿宋_GB2312" w:eastAsia="仿宋_GB2312" w:cs="仿宋_GB2312"/>
          <w:color w:val="000000"/>
          <w:sz w:val="32"/>
          <w:szCs w:val="32"/>
        </w:rPr>
        <w:t>有下列情形之一的，招标人将重新招标：</w:t>
      </w:r>
      <w:bookmarkEnd w:id="612"/>
      <w:bookmarkEnd w:id="613"/>
    </w:p>
    <w:p w14:paraId="4F5F5358">
      <w:pPr>
        <w:pStyle w:val="26"/>
        <w:widowControl/>
        <w:spacing w:before="0" w:line="592" w:lineRule="exact"/>
        <w:ind w:firstLine="640" w:firstLineChars="200"/>
        <w:rPr>
          <w:rFonts w:ascii="仿宋_GB2312" w:hAnsi="仿宋_GB2312" w:eastAsia="仿宋_GB2312" w:cs="仿宋_GB2312"/>
          <w:color w:val="000000"/>
          <w:sz w:val="32"/>
          <w:szCs w:val="32"/>
        </w:rPr>
      </w:pPr>
      <w:bookmarkStart w:id="614" w:name="_Toc31244"/>
      <w:bookmarkStart w:id="615" w:name="_Toc29682"/>
      <w:r>
        <w:rPr>
          <w:rFonts w:hint="eastAsia" w:ascii="仿宋_GB2312" w:hAnsi="仿宋_GB2312" w:eastAsia="仿宋_GB2312" w:cs="仿宋_GB2312"/>
          <w:color w:val="000000"/>
          <w:sz w:val="32"/>
          <w:szCs w:val="32"/>
        </w:rPr>
        <w:t>8.1.1在投标截止时间时提交投标文件的投标人少于3个的；</w:t>
      </w:r>
      <w:bookmarkEnd w:id="614"/>
      <w:bookmarkEnd w:id="615"/>
    </w:p>
    <w:p w14:paraId="170D2C9D">
      <w:pPr>
        <w:pStyle w:val="26"/>
        <w:widowControl/>
        <w:spacing w:before="0" w:line="592" w:lineRule="exact"/>
        <w:ind w:firstLine="640" w:firstLineChars="200"/>
        <w:rPr>
          <w:rFonts w:ascii="仿宋_GB2312" w:hAnsi="仿宋_GB2312" w:eastAsia="仿宋_GB2312" w:cs="仿宋_GB2312"/>
          <w:color w:val="000000"/>
          <w:sz w:val="32"/>
          <w:szCs w:val="32"/>
        </w:rPr>
      </w:pPr>
      <w:bookmarkStart w:id="616" w:name="_Toc443"/>
      <w:bookmarkStart w:id="617" w:name="_Toc3200"/>
      <w:r>
        <w:rPr>
          <w:rFonts w:hint="eastAsia" w:ascii="仿宋_GB2312" w:hAnsi="仿宋_GB2312" w:eastAsia="仿宋_GB2312" w:cs="仿宋_GB2312"/>
          <w:color w:val="000000"/>
          <w:sz w:val="32"/>
          <w:szCs w:val="32"/>
        </w:rPr>
        <w:t>8.1.2所有投标均被否决的。</w:t>
      </w:r>
      <w:bookmarkEnd w:id="616"/>
      <w:bookmarkEnd w:id="617"/>
    </w:p>
    <w:p w14:paraId="6F754E1C">
      <w:pPr>
        <w:pStyle w:val="26"/>
        <w:widowControl/>
        <w:spacing w:before="0" w:line="592" w:lineRule="exact"/>
        <w:ind w:firstLine="640" w:firstLineChars="200"/>
        <w:rPr>
          <w:rFonts w:ascii="仿宋_GB2312" w:hAnsi="仿宋_GB2312" w:eastAsia="仿宋_GB2312" w:cs="仿宋_GB2312"/>
          <w:color w:val="000000"/>
          <w:sz w:val="32"/>
          <w:szCs w:val="32"/>
        </w:rPr>
      </w:pPr>
      <w:bookmarkStart w:id="618" w:name="_Toc32645"/>
      <w:bookmarkStart w:id="619" w:name="_Toc23852"/>
      <w:bookmarkStart w:id="620" w:name="_Toc25859"/>
      <w:r>
        <w:rPr>
          <w:rFonts w:hint="eastAsia" w:ascii="仿宋_GB2312" w:hAnsi="仿宋_GB2312" w:eastAsia="仿宋_GB2312" w:cs="仿宋_GB2312"/>
          <w:color w:val="000000"/>
          <w:sz w:val="32"/>
          <w:szCs w:val="32"/>
        </w:rPr>
        <w:t>9. 纪律和监督</w:t>
      </w:r>
      <w:bookmarkEnd w:id="618"/>
      <w:bookmarkEnd w:id="619"/>
      <w:bookmarkEnd w:id="620"/>
    </w:p>
    <w:p w14:paraId="02428887">
      <w:pPr>
        <w:pStyle w:val="26"/>
        <w:widowControl/>
        <w:spacing w:before="0" w:line="592" w:lineRule="exact"/>
        <w:ind w:firstLine="640" w:firstLineChars="200"/>
        <w:rPr>
          <w:rFonts w:ascii="仿宋_GB2312" w:hAnsi="仿宋_GB2312" w:eastAsia="仿宋_GB2312" w:cs="仿宋_GB2312"/>
          <w:color w:val="000000"/>
          <w:sz w:val="32"/>
          <w:szCs w:val="32"/>
        </w:rPr>
      </w:pPr>
      <w:bookmarkStart w:id="621" w:name="_Toc28058"/>
      <w:bookmarkStart w:id="622" w:name="_Toc361"/>
      <w:bookmarkStart w:id="623" w:name="_Toc12037"/>
      <w:r>
        <w:rPr>
          <w:rFonts w:hint="eastAsia" w:ascii="仿宋_GB2312" w:hAnsi="仿宋_GB2312" w:eastAsia="仿宋_GB2312" w:cs="仿宋_GB2312"/>
          <w:color w:val="000000"/>
          <w:sz w:val="32"/>
          <w:szCs w:val="32"/>
        </w:rPr>
        <w:t>9.1 对招标人的纪律要求</w:t>
      </w:r>
      <w:bookmarkEnd w:id="621"/>
      <w:bookmarkEnd w:id="622"/>
      <w:bookmarkEnd w:id="623"/>
    </w:p>
    <w:p w14:paraId="4D7C5C5D">
      <w:pPr>
        <w:pStyle w:val="26"/>
        <w:widowControl/>
        <w:spacing w:before="0" w:line="592" w:lineRule="exact"/>
        <w:ind w:firstLine="640" w:firstLineChars="200"/>
        <w:rPr>
          <w:rFonts w:ascii="仿宋_GB2312" w:hAnsi="仿宋_GB2312" w:eastAsia="仿宋_GB2312" w:cs="仿宋_GB2312"/>
          <w:color w:val="000000"/>
          <w:sz w:val="32"/>
          <w:szCs w:val="32"/>
        </w:rPr>
      </w:pPr>
      <w:bookmarkStart w:id="624" w:name="_Toc30692"/>
      <w:bookmarkStart w:id="625" w:name="_Toc6672"/>
      <w:r>
        <w:rPr>
          <w:rFonts w:hint="eastAsia" w:ascii="仿宋_GB2312" w:hAnsi="仿宋_GB2312" w:eastAsia="仿宋_GB2312" w:cs="仿宋_GB2312"/>
          <w:color w:val="000000"/>
          <w:sz w:val="32"/>
          <w:szCs w:val="32"/>
        </w:rPr>
        <w:t>招标人不得泄漏招标投标活动中应当保密的情况和资料，不得与投标人串通损害国家利益、社会公共利益和他人合法权益。</w:t>
      </w:r>
      <w:bookmarkEnd w:id="624"/>
      <w:bookmarkEnd w:id="625"/>
    </w:p>
    <w:p w14:paraId="36F033E7">
      <w:pPr>
        <w:pStyle w:val="26"/>
        <w:widowControl/>
        <w:spacing w:before="0" w:line="592" w:lineRule="exact"/>
        <w:ind w:firstLine="640" w:firstLineChars="200"/>
        <w:rPr>
          <w:rFonts w:ascii="仿宋_GB2312" w:hAnsi="仿宋_GB2312" w:eastAsia="仿宋_GB2312" w:cs="仿宋_GB2312"/>
          <w:color w:val="000000"/>
          <w:sz w:val="32"/>
          <w:szCs w:val="32"/>
        </w:rPr>
      </w:pPr>
      <w:bookmarkStart w:id="626" w:name="_Toc5677"/>
      <w:bookmarkStart w:id="627" w:name="_Toc29335"/>
      <w:bookmarkStart w:id="628" w:name="_Toc28116"/>
      <w:r>
        <w:rPr>
          <w:rFonts w:hint="eastAsia" w:ascii="仿宋_GB2312" w:hAnsi="仿宋_GB2312" w:eastAsia="仿宋_GB2312" w:cs="仿宋_GB2312"/>
          <w:color w:val="000000"/>
          <w:sz w:val="32"/>
          <w:szCs w:val="32"/>
        </w:rPr>
        <w:t>9.2 对投标人的纪律要求</w:t>
      </w:r>
      <w:bookmarkEnd w:id="626"/>
      <w:bookmarkEnd w:id="627"/>
      <w:bookmarkEnd w:id="628"/>
    </w:p>
    <w:p w14:paraId="380406C6">
      <w:pPr>
        <w:pStyle w:val="26"/>
        <w:widowControl/>
        <w:spacing w:before="0" w:line="592" w:lineRule="exact"/>
        <w:ind w:firstLine="640" w:firstLineChars="200"/>
        <w:rPr>
          <w:rFonts w:ascii="仿宋_GB2312" w:hAnsi="仿宋_GB2312" w:eastAsia="仿宋_GB2312" w:cs="仿宋_GB2312"/>
          <w:color w:val="000000"/>
          <w:sz w:val="32"/>
          <w:szCs w:val="32"/>
        </w:rPr>
      </w:pPr>
      <w:bookmarkStart w:id="629" w:name="_Toc10684"/>
      <w:bookmarkStart w:id="630" w:name="_Toc5016"/>
      <w:r>
        <w:rPr>
          <w:rFonts w:hint="eastAsia" w:ascii="仿宋_GB2312" w:hAnsi="仿宋_GB2312" w:eastAsia="仿宋_GB2312" w:cs="仿宋_GB2312"/>
          <w:color w:val="000000"/>
          <w:sz w:val="32"/>
          <w:szCs w:val="32"/>
        </w:rPr>
        <w:t>投标人不得相互串通投标或者与招标人串通投标，不得向招标人或者评标委员会成员行贿谋取中标，不得以他人名义投标或者以其他方式弄虚作假骗取中标；投标人不得以任何方式干扰、影响评标工作。</w:t>
      </w:r>
      <w:bookmarkEnd w:id="629"/>
      <w:bookmarkEnd w:id="630"/>
    </w:p>
    <w:p w14:paraId="0D84BC50">
      <w:pPr>
        <w:pStyle w:val="26"/>
        <w:widowControl/>
        <w:spacing w:before="0" w:line="592" w:lineRule="exact"/>
        <w:ind w:firstLine="640" w:firstLineChars="200"/>
        <w:rPr>
          <w:rFonts w:ascii="仿宋_GB2312" w:hAnsi="仿宋_GB2312" w:eastAsia="仿宋_GB2312" w:cs="仿宋_GB2312"/>
          <w:color w:val="000000"/>
          <w:sz w:val="32"/>
          <w:szCs w:val="32"/>
        </w:rPr>
      </w:pPr>
      <w:bookmarkStart w:id="631" w:name="_Toc21335"/>
      <w:bookmarkStart w:id="632" w:name="_Toc22801"/>
      <w:bookmarkStart w:id="633" w:name="_Toc14901"/>
      <w:r>
        <w:rPr>
          <w:rFonts w:hint="eastAsia" w:ascii="仿宋_GB2312" w:hAnsi="仿宋_GB2312" w:eastAsia="仿宋_GB2312" w:cs="仿宋_GB2312"/>
          <w:color w:val="000000"/>
          <w:sz w:val="32"/>
          <w:szCs w:val="32"/>
        </w:rPr>
        <w:t>9.3 对评标委员会成员的纪律要求</w:t>
      </w:r>
      <w:bookmarkEnd w:id="631"/>
      <w:bookmarkEnd w:id="632"/>
      <w:bookmarkEnd w:id="633"/>
    </w:p>
    <w:p w14:paraId="38390F7F">
      <w:pPr>
        <w:pStyle w:val="26"/>
        <w:widowControl/>
        <w:spacing w:before="0" w:line="592" w:lineRule="exact"/>
        <w:ind w:firstLine="640" w:firstLineChars="200"/>
        <w:rPr>
          <w:rFonts w:ascii="仿宋_GB2312" w:hAnsi="仿宋_GB2312" w:eastAsia="仿宋_GB2312" w:cs="仿宋_GB2312"/>
          <w:color w:val="000000"/>
          <w:sz w:val="32"/>
          <w:szCs w:val="32"/>
        </w:rPr>
      </w:pPr>
      <w:bookmarkStart w:id="634" w:name="_Toc18420"/>
      <w:bookmarkStart w:id="635" w:name="_Toc12981"/>
      <w:r>
        <w:rPr>
          <w:rFonts w:hint="eastAsia" w:ascii="仿宋_GB2312" w:hAnsi="仿宋_GB2312" w:eastAsia="仿宋_GB2312" w:cs="仿宋_GB2312"/>
          <w:color w:val="000000"/>
          <w:sz w:val="32"/>
          <w:szCs w:val="32"/>
        </w:rPr>
        <w:t>评标委员会成员不得收受他人的财物或者其他好处，不得向他人透漏对投标文件的评审和比较、中标候选人的推荐情况以及与评标有关的其他情况。在评标活动中，评标委员会成员不得擅离职守，影响评标程序正常进行，不得使用第三章“评标办法”没有规定的评审因素和标准进行评标。</w:t>
      </w:r>
      <w:bookmarkEnd w:id="634"/>
      <w:bookmarkEnd w:id="635"/>
    </w:p>
    <w:p w14:paraId="00144B17">
      <w:pPr>
        <w:pStyle w:val="26"/>
        <w:widowControl/>
        <w:spacing w:before="0" w:line="592" w:lineRule="exact"/>
        <w:ind w:firstLine="640" w:firstLineChars="200"/>
        <w:rPr>
          <w:rFonts w:ascii="仿宋_GB2312" w:hAnsi="仿宋_GB2312" w:eastAsia="仿宋_GB2312" w:cs="仿宋_GB2312"/>
          <w:color w:val="000000"/>
          <w:sz w:val="32"/>
          <w:szCs w:val="32"/>
        </w:rPr>
      </w:pPr>
      <w:bookmarkStart w:id="636" w:name="_Toc5031"/>
      <w:bookmarkStart w:id="637" w:name="_Toc26974"/>
      <w:bookmarkStart w:id="638" w:name="_Toc21273"/>
      <w:r>
        <w:rPr>
          <w:rFonts w:hint="eastAsia" w:ascii="仿宋_GB2312" w:hAnsi="仿宋_GB2312" w:eastAsia="仿宋_GB2312" w:cs="仿宋_GB2312"/>
          <w:color w:val="000000"/>
          <w:sz w:val="32"/>
          <w:szCs w:val="32"/>
        </w:rPr>
        <w:t>9.4 对与评标活动有关的工作人员的纪律要求</w:t>
      </w:r>
      <w:bookmarkEnd w:id="636"/>
      <w:bookmarkEnd w:id="637"/>
      <w:bookmarkEnd w:id="638"/>
    </w:p>
    <w:p w14:paraId="25915D91">
      <w:pPr>
        <w:pStyle w:val="26"/>
        <w:widowControl/>
        <w:spacing w:before="0" w:line="592" w:lineRule="exact"/>
        <w:ind w:firstLine="640" w:firstLineChars="200"/>
        <w:rPr>
          <w:rFonts w:ascii="仿宋_GB2312" w:hAnsi="仿宋_GB2312" w:eastAsia="仿宋_GB2312" w:cs="仿宋_GB2312"/>
          <w:color w:val="000000"/>
          <w:sz w:val="32"/>
          <w:szCs w:val="32"/>
        </w:rPr>
      </w:pPr>
      <w:bookmarkStart w:id="639" w:name="_Toc32498"/>
      <w:bookmarkStart w:id="640" w:name="_Toc30037"/>
      <w:r>
        <w:rPr>
          <w:rFonts w:hint="eastAsia" w:ascii="仿宋_GB2312" w:hAnsi="仿宋_GB2312" w:eastAsia="仿宋_GB2312" w:cs="仿宋_GB2312"/>
          <w:color w:val="000000"/>
          <w:sz w:val="32"/>
          <w:szCs w:val="32"/>
        </w:rPr>
        <w:t>与评标活动有关的工作人员不得收受他人的财物或者其他好处，不得向他人透漏对投标文件的评审和比较、中标候选人的推荐情况以及与评标有关的其他情况。在评标活动中，与评标活动有关的工作人员不得擅离职守，影响评标程序正常进行。</w:t>
      </w:r>
      <w:bookmarkEnd w:id="639"/>
      <w:bookmarkEnd w:id="640"/>
    </w:p>
    <w:p w14:paraId="54BF3D99">
      <w:pPr>
        <w:pStyle w:val="26"/>
        <w:widowControl/>
        <w:spacing w:before="0" w:line="592" w:lineRule="exact"/>
        <w:ind w:firstLine="640" w:firstLineChars="200"/>
        <w:rPr>
          <w:rFonts w:ascii="仿宋_GB2312" w:hAnsi="仿宋_GB2312" w:eastAsia="仿宋_GB2312" w:cs="仿宋_GB2312"/>
          <w:color w:val="000000"/>
          <w:sz w:val="32"/>
          <w:szCs w:val="32"/>
        </w:rPr>
      </w:pPr>
      <w:bookmarkStart w:id="641" w:name="_Toc21887"/>
      <w:bookmarkStart w:id="642" w:name="_Toc20549"/>
      <w:bookmarkStart w:id="643" w:name="_Toc21978"/>
      <w:r>
        <w:rPr>
          <w:rFonts w:hint="eastAsia" w:ascii="仿宋_GB2312" w:hAnsi="仿宋_GB2312" w:eastAsia="仿宋_GB2312" w:cs="仿宋_GB2312"/>
          <w:color w:val="000000"/>
          <w:sz w:val="32"/>
          <w:szCs w:val="32"/>
        </w:rPr>
        <w:t>9.5 投诉</w:t>
      </w:r>
      <w:bookmarkEnd w:id="641"/>
      <w:bookmarkEnd w:id="642"/>
      <w:bookmarkEnd w:id="643"/>
    </w:p>
    <w:p w14:paraId="47AAE75B">
      <w:pPr>
        <w:pStyle w:val="26"/>
        <w:widowControl/>
        <w:spacing w:before="0" w:line="592" w:lineRule="exact"/>
        <w:ind w:firstLine="640" w:firstLineChars="200"/>
        <w:rPr>
          <w:rFonts w:ascii="仿宋_GB2312" w:hAnsi="仿宋_GB2312" w:eastAsia="仿宋_GB2312" w:cs="仿宋_GB2312"/>
          <w:color w:val="000000"/>
          <w:sz w:val="32"/>
          <w:szCs w:val="32"/>
        </w:rPr>
      </w:pPr>
      <w:bookmarkStart w:id="644" w:name="_Toc211"/>
      <w:bookmarkStart w:id="645" w:name="_Toc15805"/>
      <w:r>
        <w:rPr>
          <w:rFonts w:hint="eastAsia" w:ascii="仿宋_GB2312" w:hAnsi="仿宋_GB2312" w:eastAsia="仿宋_GB2312" w:cs="仿宋_GB2312"/>
          <w:color w:val="000000"/>
          <w:sz w:val="32"/>
          <w:szCs w:val="32"/>
        </w:rPr>
        <w:t>投标人和其他利害关系人认为本次招标投标活动违反法律、法规和规章规定的，有权向济钢集团公司相关部门投诉。</w:t>
      </w:r>
      <w:bookmarkEnd w:id="644"/>
      <w:bookmarkEnd w:id="645"/>
    </w:p>
    <w:p w14:paraId="027A608F">
      <w:pPr>
        <w:pStyle w:val="26"/>
        <w:widowControl/>
        <w:spacing w:before="0" w:line="592" w:lineRule="exact"/>
        <w:ind w:firstLine="640" w:firstLineChars="200"/>
        <w:rPr>
          <w:rFonts w:ascii="仿宋_GB2312" w:hAnsi="仿宋_GB2312" w:eastAsia="仿宋_GB2312" w:cs="仿宋_GB2312"/>
          <w:color w:val="000000"/>
          <w:sz w:val="32"/>
          <w:szCs w:val="32"/>
        </w:rPr>
      </w:pPr>
      <w:bookmarkStart w:id="646" w:name="_Toc32002"/>
      <w:bookmarkStart w:id="647" w:name="_Toc17609"/>
      <w:bookmarkStart w:id="648" w:name="_Toc4802"/>
      <w:r>
        <w:rPr>
          <w:rFonts w:hint="eastAsia" w:ascii="仿宋_GB2312" w:hAnsi="仿宋_GB2312" w:eastAsia="仿宋_GB2312" w:cs="仿宋_GB2312"/>
          <w:color w:val="000000"/>
          <w:sz w:val="32"/>
          <w:szCs w:val="32"/>
        </w:rPr>
        <w:t>10. 需要补充的其他内容</w:t>
      </w:r>
      <w:bookmarkEnd w:id="646"/>
      <w:bookmarkEnd w:id="647"/>
      <w:bookmarkEnd w:id="648"/>
    </w:p>
    <w:p w14:paraId="2BD700E7">
      <w:pPr>
        <w:pStyle w:val="26"/>
        <w:widowControl/>
        <w:spacing w:before="0" w:line="592" w:lineRule="exact"/>
        <w:ind w:firstLine="640" w:firstLineChars="200"/>
        <w:rPr>
          <w:rFonts w:ascii="仿宋_GB2312" w:hAnsi="仿宋_GB2312" w:eastAsia="仿宋_GB2312" w:cs="仿宋_GB2312"/>
          <w:color w:val="000000"/>
          <w:sz w:val="32"/>
          <w:szCs w:val="32"/>
        </w:rPr>
      </w:pPr>
      <w:bookmarkStart w:id="649" w:name="_Toc13862"/>
      <w:bookmarkStart w:id="650" w:name="_Toc16477"/>
      <w:r>
        <w:rPr>
          <w:rFonts w:hint="eastAsia" w:ascii="仿宋_GB2312" w:hAnsi="仿宋_GB2312" w:eastAsia="仿宋_GB2312" w:cs="仿宋_GB2312"/>
          <w:color w:val="000000"/>
          <w:sz w:val="32"/>
          <w:szCs w:val="32"/>
        </w:rPr>
        <w:t>需要补充的其他内容：见投标人须知前附表。</w:t>
      </w:r>
      <w:bookmarkEnd w:id="649"/>
      <w:bookmarkEnd w:id="650"/>
    </w:p>
    <w:p w14:paraId="654FC6CE">
      <w:pPr>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br w:type="page"/>
      </w:r>
    </w:p>
    <w:p w14:paraId="46A0225B">
      <w:pPr>
        <w:pStyle w:val="25"/>
        <w:keepNext w:val="0"/>
        <w:keepLines w:val="0"/>
        <w:widowControl/>
        <w:spacing w:before="0" w:after="0" w:line="592" w:lineRule="exact"/>
        <w:ind w:firstLine="216"/>
        <w:jc w:val="center"/>
        <w:outlineLvl w:val="0"/>
        <w:rPr>
          <w:rFonts w:ascii="方正小标宋简体" w:hAnsi="方正小标宋简体" w:eastAsia="方正小标宋简体" w:cs="方正小标宋简体"/>
          <w:i w:val="0"/>
          <w:color w:val="000000"/>
          <w:kern w:val="2"/>
          <w:sz w:val="44"/>
          <w:szCs w:val="44"/>
        </w:rPr>
      </w:pPr>
      <w:bookmarkStart w:id="651" w:name="_Toc7558"/>
      <w:r>
        <w:rPr>
          <w:rFonts w:ascii="方正小标宋简体" w:hAnsi="方正小标宋简体" w:eastAsia="方正小标宋简体" w:cs="方正小标宋简体"/>
          <w:i w:val="0"/>
          <w:color w:val="000000"/>
          <w:kern w:val="2"/>
          <w:sz w:val="44"/>
          <w:szCs w:val="44"/>
        </w:rPr>
        <w:t>第三章 评标办法</w:t>
      </w:r>
      <w:bookmarkEnd w:id="651"/>
    </w:p>
    <w:p w14:paraId="66716369">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A包（沥青混合料供应）评标办法（综合评估法）</w:t>
      </w:r>
    </w:p>
    <w:p w14:paraId="724A0AB5">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(一) 技术资信标评分标准（</w:t>
      </w:r>
      <w:r>
        <w:rPr>
          <w:rFonts w:hint="eastAsia" w:ascii="仿宋_GB2312" w:hAnsi="仿宋_GB2312" w:eastAsia="仿宋_GB2312" w:cs="仿宋_GB2312"/>
          <w:color w:val="0F1115"/>
          <w:sz w:val="32"/>
          <w:szCs w:val="32"/>
          <w:shd w:val="clear" w:color="auto" w:fill="FFFFFF"/>
        </w:rPr>
        <w:t>3</w:t>
      </w:r>
      <w:r>
        <w:rPr>
          <w:rFonts w:ascii="仿宋_GB2312" w:hAnsi="仿宋_GB2312" w:eastAsia="仿宋_GB2312" w:cs="仿宋_GB2312"/>
          <w:color w:val="0F1115"/>
          <w:sz w:val="32"/>
          <w:szCs w:val="32"/>
          <w:shd w:val="clear" w:color="auto" w:fill="FFFFFF"/>
        </w:rPr>
        <w:t>0分）</w:t>
      </w:r>
    </w:p>
    <w:tbl>
      <w:tblPr>
        <w:tblStyle w:val="18"/>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392"/>
        <w:gridCol w:w="861"/>
        <w:gridCol w:w="6357"/>
      </w:tblGrid>
      <w:tr w14:paraId="346D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808" w:type="pct"/>
            <w:shd w:val="clear" w:color="auto" w:fill="auto"/>
            <w:tcMar>
              <w:top w:w="150" w:type="dxa"/>
              <w:left w:w="0" w:type="dxa"/>
              <w:bottom w:w="150" w:type="dxa"/>
              <w:right w:w="240" w:type="dxa"/>
            </w:tcMar>
            <w:vAlign w:val="center"/>
          </w:tcPr>
          <w:p w14:paraId="6EDC8FE6">
            <w:pPr>
              <w:pStyle w:val="16"/>
              <w:widowControl/>
              <w:jc w:val="center"/>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评分项目</w:t>
            </w:r>
          </w:p>
        </w:tc>
        <w:tc>
          <w:tcPr>
            <w:tcW w:w="500" w:type="pct"/>
            <w:shd w:val="clear" w:color="auto" w:fill="auto"/>
            <w:tcMar>
              <w:top w:w="150" w:type="dxa"/>
              <w:left w:w="240" w:type="dxa"/>
              <w:bottom w:w="150" w:type="dxa"/>
              <w:right w:w="240" w:type="dxa"/>
            </w:tcMar>
            <w:vAlign w:val="center"/>
          </w:tcPr>
          <w:p w14:paraId="13A73D92">
            <w:pPr>
              <w:pStyle w:val="16"/>
              <w:widowControl/>
              <w:jc w:val="center"/>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分值</w:t>
            </w:r>
          </w:p>
        </w:tc>
        <w:tc>
          <w:tcPr>
            <w:tcW w:w="3690" w:type="pct"/>
            <w:shd w:val="clear" w:color="auto" w:fill="auto"/>
            <w:tcMar>
              <w:top w:w="150" w:type="dxa"/>
              <w:left w:w="240" w:type="dxa"/>
              <w:bottom w:w="150" w:type="dxa"/>
              <w:right w:w="240" w:type="dxa"/>
            </w:tcMar>
            <w:vAlign w:val="center"/>
          </w:tcPr>
          <w:p w14:paraId="5A09F158">
            <w:pPr>
              <w:pStyle w:val="16"/>
              <w:widowControl/>
              <w:jc w:val="center"/>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评 分 标 准</w:t>
            </w:r>
          </w:p>
        </w:tc>
      </w:tr>
      <w:tr w14:paraId="69712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08" w:type="pct"/>
            <w:shd w:val="clear" w:color="auto" w:fill="auto"/>
            <w:tcMar>
              <w:top w:w="150" w:type="dxa"/>
              <w:left w:w="0" w:type="dxa"/>
              <w:bottom w:w="150" w:type="dxa"/>
              <w:right w:w="240" w:type="dxa"/>
            </w:tcMar>
            <w:vAlign w:val="center"/>
          </w:tcPr>
          <w:p w14:paraId="548C31BC">
            <w:pPr>
              <w:pStyle w:val="16"/>
              <w:widowControl/>
              <w:jc w:val="center"/>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企业资质与实力</w:t>
            </w:r>
          </w:p>
        </w:tc>
        <w:tc>
          <w:tcPr>
            <w:tcW w:w="500" w:type="pct"/>
            <w:shd w:val="clear" w:color="auto" w:fill="auto"/>
            <w:tcMar>
              <w:top w:w="150" w:type="dxa"/>
              <w:left w:w="240" w:type="dxa"/>
              <w:bottom w:w="150" w:type="dxa"/>
              <w:right w:w="240" w:type="dxa"/>
            </w:tcMar>
            <w:vAlign w:val="center"/>
          </w:tcPr>
          <w:p w14:paraId="4D38948E">
            <w:pPr>
              <w:pStyle w:val="16"/>
              <w:widowControl/>
              <w:jc w:val="center"/>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4</w:t>
            </w:r>
          </w:p>
        </w:tc>
        <w:tc>
          <w:tcPr>
            <w:tcW w:w="3690" w:type="pct"/>
            <w:shd w:val="clear" w:color="auto" w:fill="auto"/>
            <w:tcMar>
              <w:top w:w="150" w:type="dxa"/>
              <w:left w:w="240" w:type="dxa"/>
              <w:bottom w:w="150" w:type="dxa"/>
              <w:right w:w="0" w:type="dxa"/>
            </w:tcMar>
            <w:vAlign w:val="center"/>
          </w:tcPr>
          <w:p w14:paraId="25872454">
            <w:pPr>
              <w:pStyle w:val="16"/>
              <w:widowControl/>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1.具备合法生产经营资质，</w:t>
            </w:r>
            <w:r>
              <w:rPr>
                <w:rFonts w:hint="eastAsia" w:ascii="黑体" w:hAnsi="黑体" w:eastAsia="黑体" w:cs="黑体"/>
                <w:color w:val="0F1115"/>
                <w:sz w:val="21"/>
                <w:szCs w:val="21"/>
                <w:shd w:val="clear" w:color="auto" w:fill="FFFFFF"/>
                <w:lang w:val="en-US" w:eastAsia="zh-CN"/>
              </w:rPr>
              <w:t>或</w:t>
            </w:r>
            <w:r>
              <w:rPr>
                <w:rFonts w:hint="eastAsia" w:ascii="黑体" w:hAnsi="黑体" w:eastAsia="黑体" w:cs="黑体"/>
                <w:color w:val="0F1115"/>
                <w:sz w:val="21"/>
                <w:szCs w:val="21"/>
                <w:shd w:val="clear" w:color="auto" w:fill="FFFFFF"/>
              </w:rPr>
              <w:t>能够证明自身供货能力的，或自身具备同等沥青供货能力的施工单位。得2分。</w:t>
            </w:r>
            <w:r>
              <w:rPr>
                <w:rFonts w:hint="eastAsia" w:ascii="黑体" w:hAnsi="黑体" w:eastAsia="黑体" w:cs="黑体"/>
                <w:color w:val="0F1115"/>
                <w:sz w:val="21"/>
                <w:szCs w:val="21"/>
                <w:shd w:val="clear" w:color="auto" w:fill="FFFFFF"/>
              </w:rPr>
              <w:br w:type="textWrapping"/>
            </w:r>
            <w:r>
              <w:rPr>
                <w:rFonts w:hint="eastAsia" w:ascii="黑体" w:hAnsi="黑体" w:eastAsia="黑体" w:cs="黑体"/>
                <w:color w:val="0F1115"/>
                <w:sz w:val="21"/>
                <w:szCs w:val="21"/>
                <w:shd w:val="clear" w:color="auto" w:fill="FFFFFF"/>
              </w:rPr>
              <w:t>2.通过ISO9001质量管理体系认证且在有效期内，得2分。</w:t>
            </w:r>
          </w:p>
        </w:tc>
      </w:tr>
      <w:tr w14:paraId="4E68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08" w:type="pct"/>
            <w:shd w:val="clear" w:color="auto" w:fill="auto"/>
            <w:tcMar>
              <w:top w:w="150" w:type="dxa"/>
              <w:left w:w="0" w:type="dxa"/>
              <w:bottom w:w="150" w:type="dxa"/>
              <w:right w:w="240" w:type="dxa"/>
            </w:tcMar>
            <w:vAlign w:val="center"/>
          </w:tcPr>
          <w:p w14:paraId="42F2FD32">
            <w:pPr>
              <w:pStyle w:val="16"/>
              <w:widowControl/>
              <w:jc w:val="center"/>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类似项目</w:t>
            </w:r>
          </w:p>
          <w:p w14:paraId="6C42F8B6">
            <w:pPr>
              <w:pStyle w:val="16"/>
              <w:widowControl/>
              <w:jc w:val="center"/>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业绩</w:t>
            </w:r>
          </w:p>
        </w:tc>
        <w:tc>
          <w:tcPr>
            <w:tcW w:w="500" w:type="pct"/>
            <w:shd w:val="clear" w:color="auto" w:fill="auto"/>
            <w:tcMar>
              <w:top w:w="150" w:type="dxa"/>
              <w:left w:w="240" w:type="dxa"/>
              <w:bottom w:w="150" w:type="dxa"/>
              <w:right w:w="240" w:type="dxa"/>
            </w:tcMar>
            <w:vAlign w:val="center"/>
          </w:tcPr>
          <w:p w14:paraId="67BC5B49">
            <w:pPr>
              <w:pStyle w:val="16"/>
              <w:widowControl/>
              <w:jc w:val="center"/>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6</w:t>
            </w:r>
          </w:p>
        </w:tc>
        <w:tc>
          <w:tcPr>
            <w:tcW w:w="3690" w:type="pct"/>
            <w:shd w:val="clear" w:color="auto" w:fill="auto"/>
            <w:tcMar>
              <w:top w:w="150" w:type="dxa"/>
              <w:left w:w="240" w:type="dxa"/>
              <w:bottom w:w="150" w:type="dxa"/>
              <w:right w:w="0" w:type="dxa"/>
            </w:tcMar>
            <w:vAlign w:val="center"/>
          </w:tcPr>
          <w:p w14:paraId="4B21606E">
            <w:pPr>
              <w:pStyle w:val="16"/>
              <w:widowControl/>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近三年（2023-2025）每提供1个重载道路或类似重点工程沥青混合料供应业绩（合同金额≥100万元）得2分，最高6分。须提供合同关键页及供货证明。</w:t>
            </w:r>
          </w:p>
        </w:tc>
      </w:tr>
      <w:tr w14:paraId="610A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08" w:type="pct"/>
            <w:shd w:val="clear" w:color="auto" w:fill="auto"/>
            <w:tcMar>
              <w:top w:w="150" w:type="dxa"/>
              <w:left w:w="0" w:type="dxa"/>
              <w:bottom w:w="150" w:type="dxa"/>
              <w:right w:w="240" w:type="dxa"/>
            </w:tcMar>
            <w:vAlign w:val="center"/>
          </w:tcPr>
          <w:p w14:paraId="6799DB4B">
            <w:pPr>
              <w:pStyle w:val="16"/>
              <w:widowControl/>
              <w:jc w:val="center"/>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质量保障与检测能力</w:t>
            </w:r>
          </w:p>
        </w:tc>
        <w:tc>
          <w:tcPr>
            <w:tcW w:w="500" w:type="pct"/>
            <w:shd w:val="clear" w:color="auto" w:fill="auto"/>
            <w:tcMar>
              <w:top w:w="150" w:type="dxa"/>
              <w:left w:w="240" w:type="dxa"/>
              <w:bottom w:w="150" w:type="dxa"/>
              <w:right w:w="240" w:type="dxa"/>
            </w:tcMar>
            <w:vAlign w:val="center"/>
          </w:tcPr>
          <w:p w14:paraId="7E0BC94E">
            <w:pPr>
              <w:pStyle w:val="16"/>
              <w:widowControl/>
              <w:jc w:val="center"/>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10</w:t>
            </w:r>
          </w:p>
        </w:tc>
        <w:tc>
          <w:tcPr>
            <w:tcW w:w="3690" w:type="pct"/>
            <w:shd w:val="clear" w:color="auto" w:fill="auto"/>
            <w:tcMar>
              <w:top w:w="150" w:type="dxa"/>
              <w:left w:w="240" w:type="dxa"/>
              <w:bottom w:w="150" w:type="dxa"/>
              <w:right w:w="0" w:type="dxa"/>
            </w:tcMar>
            <w:vAlign w:val="center"/>
          </w:tcPr>
          <w:p w14:paraId="31CE1FAA">
            <w:pPr>
              <w:pStyle w:val="16"/>
              <w:widowControl/>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具备完善实验室，能对招标文件要求的所有关键指标（如SBS改性沥青各项指标、混合料配合比等）进行自检，并提供设备清单，得10分；基本满足得5分；不满足不得分。</w:t>
            </w:r>
          </w:p>
        </w:tc>
      </w:tr>
      <w:tr w14:paraId="70EF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65" w:hRule="atLeast"/>
        </w:trPr>
        <w:tc>
          <w:tcPr>
            <w:tcW w:w="808" w:type="pct"/>
            <w:shd w:val="clear" w:color="auto" w:fill="auto"/>
            <w:tcMar>
              <w:top w:w="150" w:type="dxa"/>
              <w:left w:w="0" w:type="dxa"/>
              <w:bottom w:w="150" w:type="dxa"/>
              <w:right w:w="240" w:type="dxa"/>
            </w:tcMar>
            <w:vAlign w:val="center"/>
          </w:tcPr>
          <w:p w14:paraId="25350A16">
            <w:pPr>
              <w:pStyle w:val="16"/>
              <w:widowControl/>
              <w:jc w:val="center"/>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供货保障方案</w:t>
            </w:r>
          </w:p>
        </w:tc>
        <w:tc>
          <w:tcPr>
            <w:tcW w:w="500" w:type="pct"/>
            <w:shd w:val="clear" w:color="auto" w:fill="auto"/>
            <w:tcMar>
              <w:top w:w="150" w:type="dxa"/>
              <w:left w:w="240" w:type="dxa"/>
              <w:bottom w:w="150" w:type="dxa"/>
              <w:right w:w="240" w:type="dxa"/>
            </w:tcMar>
            <w:vAlign w:val="center"/>
          </w:tcPr>
          <w:p w14:paraId="5AF3F985">
            <w:pPr>
              <w:pStyle w:val="16"/>
              <w:widowControl/>
              <w:jc w:val="center"/>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10</w:t>
            </w:r>
          </w:p>
        </w:tc>
        <w:tc>
          <w:tcPr>
            <w:tcW w:w="3690" w:type="pct"/>
            <w:shd w:val="clear" w:color="auto" w:fill="auto"/>
            <w:tcMar>
              <w:top w:w="150" w:type="dxa"/>
              <w:left w:w="240" w:type="dxa"/>
              <w:bottom w:w="150" w:type="dxa"/>
              <w:right w:w="0" w:type="dxa"/>
            </w:tcMar>
            <w:vAlign w:val="center"/>
          </w:tcPr>
          <w:p w14:paraId="30E3332F">
            <w:pPr>
              <w:pStyle w:val="16"/>
              <w:widowControl/>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优（7-10分）：生产、仓储、运输计划与B包强制施工节点高度匹配，春节应急生产与供货方案详尽、可靠，保温运输措施先进，承诺响应时间短。</w:t>
            </w:r>
            <w:r>
              <w:rPr>
                <w:rFonts w:hint="eastAsia" w:ascii="黑体" w:hAnsi="黑体" w:eastAsia="黑体" w:cs="黑体"/>
                <w:color w:val="0F1115"/>
                <w:sz w:val="21"/>
                <w:szCs w:val="21"/>
                <w:shd w:val="clear" w:color="auto" w:fill="FFFFFF"/>
              </w:rPr>
              <w:br w:type="textWrapping"/>
            </w:r>
            <w:r>
              <w:rPr>
                <w:rFonts w:hint="eastAsia" w:ascii="黑体" w:hAnsi="黑体" w:eastAsia="黑体" w:cs="黑体"/>
                <w:color w:val="0F1115"/>
                <w:sz w:val="21"/>
                <w:szCs w:val="21"/>
                <w:shd w:val="clear" w:color="auto" w:fill="FFFFFF"/>
              </w:rPr>
              <w:t>良（5-7分）：计划合理，有保障措施，但应急方案或细节不够具体。</w:t>
            </w:r>
            <w:r>
              <w:rPr>
                <w:rFonts w:hint="eastAsia" w:ascii="黑体" w:hAnsi="黑体" w:eastAsia="黑体" w:cs="黑体"/>
                <w:color w:val="0F1115"/>
                <w:sz w:val="21"/>
                <w:szCs w:val="21"/>
                <w:shd w:val="clear" w:color="auto" w:fill="FFFFFF"/>
              </w:rPr>
              <w:br w:type="textWrapping"/>
            </w:r>
            <w:r>
              <w:rPr>
                <w:rFonts w:hint="eastAsia" w:ascii="黑体" w:hAnsi="黑体" w:eastAsia="黑体" w:cs="黑体"/>
                <w:color w:val="0F1115"/>
                <w:sz w:val="21"/>
                <w:szCs w:val="21"/>
                <w:shd w:val="clear" w:color="auto" w:fill="FFFFFF"/>
              </w:rPr>
              <w:t>一般（0-5分）：方案简单，无法确保及时供货，缺乏应急措施。</w:t>
            </w:r>
          </w:p>
        </w:tc>
      </w:tr>
    </w:tbl>
    <w:p w14:paraId="1A4BA40E">
      <w:pPr>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(二) 商务标评分标准（</w:t>
      </w:r>
      <w:r>
        <w:rPr>
          <w:rFonts w:hint="eastAsia" w:ascii="仿宋_GB2312" w:hAnsi="仿宋_GB2312" w:eastAsia="仿宋_GB2312" w:cs="仿宋_GB2312"/>
          <w:color w:val="0F1115"/>
          <w:sz w:val="32"/>
          <w:szCs w:val="32"/>
          <w:shd w:val="clear" w:color="auto" w:fill="FFFFFF"/>
        </w:rPr>
        <w:t>7</w:t>
      </w:r>
      <w:r>
        <w:rPr>
          <w:rFonts w:ascii="仿宋_GB2312" w:hAnsi="仿宋_GB2312" w:eastAsia="仿宋_GB2312" w:cs="仿宋_GB2312"/>
          <w:color w:val="0F1115"/>
          <w:sz w:val="32"/>
          <w:szCs w:val="32"/>
          <w:shd w:val="clear" w:color="auto" w:fill="FFFFFF"/>
        </w:rPr>
        <w:t>0分）</w:t>
      </w:r>
    </w:p>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038"/>
        <w:gridCol w:w="1004"/>
        <w:gridCol w:w="6564"/>
      </w:tblGrid>
      <w:tr w14:paraId="48EF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603" w:type="pct"/>
            <w:shd w:val="clear" w:color="auto" w:fill="auto"/>
            <w:tcMar>
              <w:top w:w="150" w:type="dxa"/>
              <w:left w:w="0" w:type="dxa"/>
              <w:bottom w:w="150" w:type="dxa"/>
              <w:right w:w="240" w:type="dxa"/>
            </w:tcMar>
            <w:vAlign w:val="center"/>
          </w:tcPr>
          <w:p w14:paraId="62FAA4CE">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项目</w:t>
            </w:r>
          </w:p>
        </w:tc>
        <w:tc>
          <w:tcPr>
            <w:tcW w:w="583" w:type="pct"/>
            <w:shd w:val="clear" w:color="auto" w:fill="auto"/>
            <w:tcMar>
              <w:top w:w="150" w:type="dxa"/>
              <w:left w:w="240" w:type="dxa"/>
              <w:bottom w:w="150" w:type="dxa"/>
              <w:right w:w="240" w:type="dxa"/>
            </w:tcMar>
            <w:vAlign w:val="center"/>
          </w:tcPr>
          <w:p w14:paraId="1C1CEF4B">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分值</w:t>
            </w:r>
          </w:p>
        </w:tc>
        <w:tc>
          <w:tcPr>
            <w:tcW w:w="3813" w:type="pct"/>
            <w:shd w:val="clear" w:color="auto" w:fill="auto"/>
            <w:tcMar>
              <w:top w:w="150" w:type="dxa"/>
              <w:left w:w="240" w:type="dxa"/>
              <w:bottom w:w="150" w:type="dxa"/>
              <w:right w:w="240" w:type="dxa"/>
            </w:tcMar>
            <w:vAlign w:val="center"/>
          </w:tcPr>
          <w:p w14:paraId="537E7197">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评 分 标 准</w:t>
            </w:r>
          </w:p>
        </w:tc>
      </w:tr>
      <w:tr w14:paraId="21BB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3" w:type="pct"/>
            <w:shd w:val="clear" w:color="auto" w:fill="auto"/>
            <w:tcMar>
              <w:top w:w="150" w:type="dxa"/>
              <w:left w:w="0" w:type="dxa"/>
              <w:bottom w:w="150" w:type="dxa"/>
              <w:right w:w="240" w:type="dxa"/>
            </w:tcMar>
            <w:vAlign w:val="center"/>
          </w:tcPr>
          <w:p w14:paraId="76B79EE4">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投标</w:t>
            </w:r>
          </w:p>
          <w:p w14:paraId="2A80017F">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报价</w:t>
            </w:r>
          </w:p>
        </w:tc>
        <w:tc>
          <w:tcPr>
            <w:tcW w:w="583" w:type="pct"/>
            <w:shd w:val="clear" w:color="auto" w:fill="auto"/>
            <w:tcMar>
              <w:top w:w="150" w:type="dxa"/>
              <w:left w:w="240" w:type="dxa"/>
              <w:bottom w:w="150" w:type="dxa"/>
              <w:right w:w="240" w:type="dxa"/>
            </w:tcMar>
            <w:vAlign w:val="center"/>
          </w:tcPr>
          <w:p w14:paraId="144B62BC">
            <w:pPr>
              <w:pStyle w:val="16"/>
              <w:widowControl/>
              <w:jc w:val="center"/>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65</w:t>
            </w:r>
          </w:p>
        </w:tc>
        <w:tc>
          <w:tcPr>
            <w:tcW w:w="3813" w:type="pct"/>
            <w:shd w:val="clear" w:color="auto" w:fill="auto"/>
            <w:tcMar>
              <w:top w:w="150" w:type="dxa"/>
              <w:left w:w="240" w:type="dxa"/>
              <w:bottom w:w="150" w:type="dxa"/>
              <w:right w:w="0" w:type="dxa"/>
            </w:tcMar>
            <w:vAlign w:val="center"/>
          </w:tcPr>
          <w:p w14:paraId="0CCCD4B8">
            <w:pPr>
              <w:pStyle w:val="16"/>
              <w:widowControl/>
              <w:rPr>
                <w:rFonts w:ascii="黑体" w:hAnsi="黑体" w:eastAsia="黑体" w:cs="黑体"/>
                <w:color w:val="0F1115"/>
                <w:sz w:val="21"/>
                <w:szCs w:val="21"/>
                <w:shd w:val="clear" w:color="auto" w:fill="FFFFFF"/>
              </w:rPr>
            </w:pPr>
            <w:r>
              <w:rPr>
                <w:rFonts w:ascii="黑体" w:hAnsi="黑体" w:eastAsia="黑体" w:cs="黑体"/>
                <w:color w:val="0F1115"/>
                <w:sz w:val="21"/>
                <w:szCs w:val="21"/>
                <w:highlight w:val="none"/>
                <w:shd w:val="clear" w:color="auto" w:fill="FFFFFF"/>
              </w:rPr>
              <w:t>以所有有效投标报价的算术平均值作为评标基准价。</w:t>
            </w:r>
            <w:r>
              <w:rPr>
                <w:rFonts w:ascii="黑体" w:hAnsi="黑体" w:eastAsia="黑体" w:cs="黑体"/>
                <w:color w:val="0F1115"/>
                <w:sz w:val="21"/>
                <w:szCs w:val="21"/>
                <w:shd w:val="clear" w:color="auto" w:fill="FFFFFF"/>
              </w:rPr>
              <w:t>投标报价等于基准价</w:t>
            </w:r>
            <w:r>
              <w:rPr>
                <w:rFonts w:hint="eastAsia" w:ascii="黑体" w:hAnsi="黑体" w:eastAsia="黑体" w:cs="黑体"/>
                <w:color w:val="0F1115"/>
                <w:sz w:val="21"/>
                <w:szCs w:val="21"/>
                <w:shd w:val="clear" w:color="auto" w:fill="FFFFFF"/>
              </w:rPr>
              <w:t>的</w:t>
            </w:r>
            <w:r>
              <w:rPr>
                <w:rFonts w:ascii="黑体" w:hAnsi="黑体" w:eastAsia="黑体" w:cs="黑体"/>
                <w:color w:val="0F1115"/>
                <w:sz w:val="21"/>
                <w:szCs w:val="21"/>
                <w:shd w:val="clear" w:color="auto" w:fill="FFFFFF"/>
              </w:rPr>
              <w:t>得</w:t>
            </w:r>
            <w:r>
              <w:rPr>
                <w:rFonts w:hint="eastAsia" w:ascii="黑体" w:hAnsi="黑体" w:eastAsia="黑体" w:cs="黑体"/>
                <w:color w:val="0F1115"/>
                <w:sz w:val="21"/>
                <w:szCs w:val="21"/>
                <w:shd w:val="clear" w:color="auto" w:fill="FFFFFF"/>
              </w:rPr>
              <w:t>65</w:t>
            </w:r>
            <w:r>
              <w:rPr>
                <w:rFonts w:ascii="黑体" w:hAnsi="黑体" w:eastAsia="黑体" w:cs="黑体"/>
                <w:color w:val="0F1115"/>
                <w:sz w:val="21"/>
                <w:szCs w:val="21"/>
                <w:shd w:val="clear" w:color="auto" w:fill="FFFFFF"/>
              </w:rPr>
              <w:t>分；每高于基准价</w:t>
            </w:r>
            <w:r>
              <w:rPr>
                <w:rFonts w:hint="eastAsia" w:ascii="黑体" w:hAnsi="黑体" w:eastAsia="黑体" w:cs="黑体"/>
                <w:color w:val="0F1115"/>
                <w:sz w:val="21"/>
                <w:szCs w:val="21"/>
                <w:shd w:val="clear" w:color="auto" w:fill="FFFFFF"/>
              </w:rPr>
              <w:t>1</w:t>
            </w:r>
            <w:r>
              <w:rPr>
                <w:rFonts w:ascii="黑体" w:hAnsi="黑体" w:eastAsia="黑体" w:cs="黑体"/>
                <w:color w:val="0F1115"/>
                <w:sz w:val="21"/>
                <w:szCs w:val="21"/>
                <w:shd w:val="clear" w:color="auto" w:fill="FFFFFF"/>
              </w:rPr>
              <w:t>%扣0.5分，每低于基准价1%扣0.3分，扣完为止（不足1%按插入法计算，保留两位小数）。</w:t>
            </w:r>
          </w:p>
        </w:tc>
      </w:tr>
      <w:tr w14:paraId="6602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603" w:type="pct"/>
            <w:shd w:val="clear" w:color="auto" w:fill="auto"/>
            <w:tcMar>
              <w:top w:w="150" w:type="dxa"/>
              <w:left w:w="0" w:type="dxa"/>
              <w:bottom w:w="150" w:type="dxa"/>
              <w:right w:w="240" w:type="dxa"/>
            </w:tcMar>
            <w:vAlign w:val="center"/>
          </w:tcPr>
          <w:p w14:paraId="4E247B54">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报价合理性</w:t>
            </w:r>
          </w:p>
        </w:tc>
        <w:tc>
          <w:tcPr>
            <w:tcW w:w="583" w:type="pct"/>
            <w:shd w:val="clear" w:color="auto" w:fill="auto"/>
            <w:tcMar>
              <w:top w:w="150" w:type="dxa"/>
              <w:left w:w="240" w:type="dxa"/>
              <w:bottom w:w="150" w:type="dxa"/>
              <w:right w:w="240" w:type="dxa"/>
            </w:tcMar>
            <w:vAlign w:val="center"/>
          </w:tcPr>
          <w:p w14:paraId="0B7A47EA">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5</w:t>
            </w:r>
          </w:p>
        </w:tc>
        <w:tc>
          <w:tcPr>
            <w:tcW w:w="3813" w:type="pct"/>
            <w:shd w:val="clear" w:color="auto" w:fill="auto"/>
            <w:tcMar>
              <w:top w:w="150" w:type="dxa"/>
              <w:left w:w="240" w:type="dxa"/>
              <w:bottom w:w="150" w:type="dxa"/>
              <w:right w:w="0" w:type="dxa"/>
            </w:tcMar>
            <w:vAlign w:val="center"/>
          </w:tcPr>
          <w:p w14:paraId="46F1F52F">
            <w:pPr>
              <w:pStyle w:val="16"/>
              <w:widowControl/>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分项单价构成清晰、合理，与市场价格水平相符，无严重不平衡报价，得5分；存在不合理之处，酌情扣分。</w:t>
            </w:r>
          </w:p>
        </w:tc>
      </w:tr>
    </w:tbl>
    <w:p w14:paraId="1E115F18">
      <w:pPr>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br w:type="page"/>
      </w:r>
    </w:p>
    <w:p w14:paraId="0CC9D63B">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B包（道路维修施工）评标办法（综合评估法）</w:t>
      </w:r>
    </w:p>
    <w:p w14:paraId="1DCDCA6E">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(一) 技术资信标评分标准（30分）</w:t>
      </w:r>
    </w:p>
    <w:tbl>
      <w:tblPr>
        <w:tblStyle w:val="18"/>
        <w:tblW w:w="8523" w:type="dxa"/>
        <w:tblInd w:w="2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417"/>
        <w:gridCol w:w="751"/>
        <w:gridCol w:w="6355"/>
      </w:tblGrid>
      <w:tr w14:paraId="5414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17" w:type="dxa"/>
            <w:shd w:val="clear" w:color="auto" w:fill="auto"/>
            <w:tcMar>
              <w:top w:w="150" w:type="dxa"/>
              <w:left w:w="240" w:type="dxa"/>
              <w:bottom w:w="150" w:type="dxa"/>
              <w:right w:w="240" w:type="dxa"/>
            </w:tcMar>
            <w:vAlign w:val="center"/>
          </w:tcPr>
          <w:p w14:paraId="274ABF53">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评分项目</w:t>
            </w:r>
          </w:p>
        </w:tc>
        <w:tc>
          <w:tcPr>
            <w:tcW w:w="751" w:type="dxa"/>
            <w:shd w:val="clear" w:color="auto" w:fill="auto"/>
            <w:tcMar>
              <w:top w:w="150" w:type="dxa"/>
              <w:left w:w="240" w:type="dxa"/>
              <w:bottom w:w="150" w:type="dxa"/>
              <w:right w:w="240" w:type="dxa"/>
            </w:tcMar>
            <w:vAlign w:val="center"/>
          </w:tcPr>
          <w:p w14:paraId="5717F830">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分值</w:t>
            </w:r>
          </w:p>
        </w:tc>
        <w:tc>
          <w:tcPr>
            <w:tcW w:w="6355" w:type="dxa"/>
            <w:shd w:val="clear" w:color="auto" w:fill="auto"/>
            <w:tcMar>
              <w:top w:w="150" w:type="dxa"/>
              <w:left w:w="240" w:type="dxa"/>
              <w:bottom w:w="150" w:type="dxa"/>
              <w:right w:w="0" w:type="dxa"/>
            </w:tcMar>
            <w:vAlign w:val="center"/>
          </w:tcPr>
          <w:p w14:paraId="04D81FF1">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评 分 标 准</w:t>
            </w:r>
          </w:p>
        </w:tc>
      </w:tr>
      <w:tr w14:paraId="489D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17" w:type="dxa"/>
            <w:shd w:val="clear" w:color="auto" w:fill="auto"/>
            <w:tcMar>
              <w:top w:w="150" w:type="dxa"/>
              <w:left w:w="240" w:type="dxa"/>
              <w:bottom w:w="150" w:type="dxa"/>
              <w:right w:w="240" w:type="dxa"/>
            </w:tcMar>
            <w:vAlign w:val="center"/>
          </w:tcPr>
          <w:p w14:paraId="30A9CC16">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企业资质</w:t>
            </w:r>
          </w:p>
        </w:tc>
        <w:tc>
          <w:tcPr>
            <w:tcW w:w="751" w:type="dxa"/>
            <w:shd w:val="clear" w:color="auto" w:fill="auto"/>
            <w:tcMar>
              <w:top w:w="150" w:type="dxa"/>
              <w:left w:w="240" w:type="dxa"/>
              <w:bottom w:w="150" w:type="dxa"/>
              <w:right w:w="240" w:type="dxa"/>
            </w:tcMar>
            <w:vAlign w:val="center"/>
          </w:tcPr>
          <w:p w14:paraId="04CDFF65">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2</w:t>
            </w:r>
          </w:p>
        </w:tc>
        <w:tc>
          <w:tcPr>
            <w:tcW w:w="6355" w:type="dxa"/>
            <w:shd w:val="clear" w:color="auto" w:fill="auto"/>
            <w:tcMar>
              <w:top w:w="150" w:type="dxa"/>
              <w:left w:w="240" w:type="dxa"/>
              <w:bottom w:w="150" w:type="dxa"/>
              <w:right w:w="0" w:type="dxa"/>
            </w:tcMar>
            <w:vAlign w:val="center"/>
          </w:tcPr>
          <w:p w14:paraId="1A70E272">
            <w:pPr>
              <w:pStyle w:val="16"/>
              <w:widowControl/>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满足招标文件资质要求的得1分，高于资质要求（如具备壹级资质）的得2分。</w:t>
            </w:r>
          </w:p>
        </w:tc>
      </w:tr>
      <w:tr w14:paraId="549C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17" w:type="dxa"/>
            <w:shd w:val="clear" w:color="auto" w:fill="auto"/>
            <w:tcMar>
              <w:top w:w="150" w:type="dxa"/>
              <w:left w:w="240" w:type="dxa"/>
              <w:bottom w:w="150" w:type="dxa"/>
              <w:right w:w="240" w:type="dxa"/>
            </w:tcMar>
            <w:vAlign w:val="center"/>
          </w:tcPr>
          <w:p w14:paraId="1BEB3BDB">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企业业绩</w:t>
            </w:r>
          </w:p>
        </w:tc>
        <w:tc>
          <w:tcPr>
            <w:tcW w:w="751" w:type="dxa"/>
            <w:shd w:val="clear" w:color="auto" w:fill="auto"/>
            <w:tcMar>
              <w:top w:w="150" w:type="dxa"/>
              <w:left w:w="240" w:type="dxa"/>
              <w:bottom w:w="150" w:type="dxa"/>
              <w:right w:w="240" w:type="dxa"/>
            </w:tcMar>
            <w:vAlign w:val="center"/>
          </w:tcPr>
          <w:p w14:paraId="095CB5D6">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3</w:t>
            </w:r>
          </w:p>
        </w:tc>
        <w:tc>
          <w:tcPr>
            <w:tcW w:w="6355" w:type="dxa"/>
            <w:shd w:val="clear" w:color="auto" w:fill="auto"/>
            <w:tcMar>
              <w:top w:w="150" w:type="dxa"/>
              <w:left w:w="240" w:type="dxa"/>
              <w:bottom w:w="150" w:type="dxa"/>
              <w:right w:w="0" w:type="dxa"/>
            </w:tcMar>
            <w:vAlign w:val="center"/>
          </w:tcPr>
          <w:p w14:paraId="04C61D16">
            <w:pPr>
              <w:pStyle w:val="16"/>
              <w:widowControl/>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近三年（2023-2025）每完成1项“重载交通道路”或“冬季/节假日抢工道路”类似工程（合同金额≥100万）得1分，最高得3分。（须提供合同关键页及竣工验收证明）</w:t>
            </w:r>
          </w:p>
        </w:tc>
      </w:tr>
      <w:tr w14:paraId="4A6AC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17" w:type="dxa"/>
            <w:shd w:val="clear" w:color="auto" w:fill="auto"/>
            <w:tcMar>
              <w:top w:w="150" w:type="dxa"/>
              <w:left w:w="240" w:type="dxa"/>
              <w:bottom w:w="150" w:type="dxa"/>
              <w:right w:w="240" w:type="dxa"/>
            </w:tcMar>
            <w:vAlign w:val="center"/>
          </w:tcPr>
          <w:p w14:paraId="62628BDB">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项目管理班子</w:t>
            </w:r>
          </w:p>
        </w:tc>
        <w:tc>
          <w:tcPr>
            <w:tcW w:w="751" w:type="dxa"/>
            <w:shd w:val="clear" w:color="auto" w:fill="auto"/>
            <w:tcMar>
              <w:top w:w="150" w:type="dxa"/>
              <w:left w:w="240" w:type="dxa"/>
              <w:bottom w:w="150" w:type="dxa"/>
              <w:right w:w="240" w:type="dxa"/>
            </w:tcMar>
            <w:vAlign w:val="center"/>
          </w:tcPr>
          <w:p w14:paraId="58670806">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2</w:t>
            </w:r>
          </w:p>
        </w:tc>
        <w:tc>
          <w:tcPr>
            <w:tcW w:w="6355" w:type="dxa"/>
            <w:shd w:val="clear" w:color="auto" w:fill="auto"/>
            <w:tcMar>
              <w:top w:w="150" w:type="dxa"/>
              <w:left w:w="240" w:type="dxa"/>
              <w:bottom w:w="150" w:type="dxa"/>
              <w:right w:w="0" w:type="dxa"/>
            </w:tcMar>
            <w:vAlign w:val="center"/>
          </w:tcPr>
          <w:p w14:paraId="7A903D88">
            <w:pPr>
              <w:pStyle w:val="16"/>
              <w:widowControl/>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项目管理机构人员配备齐全合理，并具有相应的岗位证书及资格证书，得2分。（提供人员名单及近</w:t>
            </w:r>
            <w:r>
              <w:rPr>
                <w:rFonts w:hint="eastAsia" w:ascii="黑体" w:hAnsi="黑体" w:eastAsia="黑体" w:cs="黑体"/>
                <w:color w:val="0F1115"/>
                <w:sz w:val="21"/>
                <w:szCs w:val="21"/>
                <w:shd w:val="clear" w:color="auto" w:fill="FFFFFF"/>
              </w:rPr>
              <w:t>3个月</w:t>
            </w:r>
            <w:r>
              <w:rPr>
                <w:rFonts w:ascii="黑体" w:hAnsi="黑体" w:eastAsia="黑体" w:cs="黑体"/>
                <w:color w:val="0F1115"/>
                <w:sz w:val="21"/>
                <w:szCs w:val="21"/>
                <w:shd w:val="clear" w:color="auto" w:fill="FFFFFF"/>
              </w:rPr>
              <w:t>有效社保证明）</w:t>
            </w:r>
          </w:p>
        </w:tc>
      </w:tr>
      <w:tr w14:paraId="38C6E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17" w:type="dxa"/>
            <w:shd w:val="clear" w:color="auto" w:fill="auto"/>
            <w:tcMar>
              <w:top w:w="150" w:type="dxa"/>
              <w:left w:w="240" w:type="dxa"/>
              <w:bottom w:w="150" w:type="dxa"/>
              <w:right w:w="240" w:type="dxa"/>
            </w:tcMar>
            <w:vAlign w:val="center"/>
          </w:tcPr>
          <w:p w14:paraId="52B28A03">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项目经理业绩</w:t>
            </w:r>
          </w:p>
        </w:tc>
        <w:tc>
          <w:tcPr>
            <w:tcW w:w="751" w:type="dxa"/>
            <w:shd w:val="clear" w:color="auto" w:fill="auto"/>
            <w:tcMar>
              <w:top w:w="150" w:type="dxa"/>
              <w:left w:w="240" w:type="dxa"/>
              <w:bottom w:w="150" w:type="dxa"/>
              <w:right w:w="240" w:type="dxa"/>
            </w:tcMar>
            <w:vAlign w:val="center"/>
          </w:tcPr>
          <w:p w14:paraId="19DF869E">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3</w:t>
            </w:r>
          </w:p>
        </w:tc>
        <w:tc>
          <w:tcPr>
            <w:tcW w:w="6355" w:type="dxa"/>
            <w:shd w:val="clear" w:color="auto" w:fill="auto"/>
            <w:tcMar>
              <w:top w:w="150" w:type="dxa"/>
              <w:left w:w="240" w:type="dxa"/>
              <w:bottom w:w="150" w:type="dxa"/>
              <w:right w:w="0" w:type="dxa"/>
            </w:tcMar>
            <w:vAlign w:val="center"/>
          </w:tcPr>
          <w:p w14:paraId="0BA90449">
            <w:pPr>
              <w:pStyle w:val="16"/>
              <w:widowControl/>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1）项目经理满足招标文件要求的得1分。</w:t>
            </w:r>
            <w:r>
              <w:rPr>
                <w:rFonts w:ascii="黑体" w:hAnsi="黑体" w:eastAsia="黑体" w:cs="黑体"/>
                <w:color w:val="0F1115"/>
                <w:sz w:val="21"/>
                <w:szCs w:val="21"/>
                <w:shd w:val="clear" w:color="auto" w:fill="FFFFFF"/>
              </w:rPr>
              <w:br w:type="textWrapping"/>
            </w:r>
            <w:r>
              <w:rPr>
                <w:rFonts w:ascii="黑体" w:hAnsi="黑体" w:eastAsia="黑体" w:cs="黑体"/>
                <w:color w:val="0F1115"/>
                <w:sz w:val="21"/>
                <w:szCs w:val="21"/>
                <w:shd w:val="clear" w:color="auto" w:fill="FFFFFF"/>
              </w:rPr>
              <w:t>2）项目经理近3年有类似工程施工管理业绩，得2分。</w:t>
            </w:r>
          </w:p>
        </w:tc>
      </w:tr>
      <w:tr w14:paraId="2BA96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17" w:type="dxa"/>
            <w:shd w:val="clear" w:color="auto" w:fill="auto"/>
            <w:tcMar>
              <w:top w:w="150" w:type="dxa"/>
              <w:left w:w="240" w:type="dxa"/>
              <w:bottom w:w="150" w:type="dxa"/>
              <w:right w:w="240" w:type="dxa"/>
            </w:tcMar>
            <w:vAlign w:val="center"/>
          </w:tcPr>
          <w:p w14:paraId="1F604A59">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材料配合与保障</w:t>
            </w:r>
          </w:p>
        </w:tc>
        <w:tc>
          <w:tcPr>
            <w:tcW w:w="751" w:type="dxa"/>
            <w:shd w:val="clear" w:color="auto" w:fill="auto"/>
            <w:tcMar>
              <w:top w:w="150" w:type="dxa"/>
              <w:left w:w="240" w:type="dxa"/>
              <w:bottom w:w="150" w:type="dxa"/>
              <w:right w:w="240" w:type="dxa"/>
            </w:tcMar>
            <w:vAlign w:val="center"/>
          </w:tcPr>
          <w:p w14:paraId="40A08B0E">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3</w:t>
            </w:r>
          </w:p>
        </w:tc>
        <w:tc>
          <w:tcPr>
            <w:tcW w:w="6355" w:type="dxa"/>
            <w:shd w:val="clear" w:color="auto" w:fill="auto"/>
            <w:tcMar>
              <w:top w:w="150" w:type="dxa"/>
              <w:left w:w="240" w:type="dxa"/>
              <w:bottom w:w="150" w:type="dxa"/>
              <w:right w:w="0" w:type="dxa"/>
            </w:tcMar>
            <w:vAlign w:val="center"/>
          </w:tcPr>
          <w:p w14:paraId="38C22394">
            <w:pPr>
              <w:pStyle w:val="16"/>
              <w:widowControl/>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1. 提供与A包材料协调配合的具体方案，得1分。</w:t>
            </w:r>
            <w:r>
              <w:rPr>
                <w:rFonts w:ascii="黑体" w:hAnsi="黑体" w:eastAsia="黑体" w:cs="黑体"/>
                <w:color w:val="0F1115"/>
                <w:sz w:val="21"/>
                <w:szCs w:val="21"/>
                <w:shd w:val="clear" w:color="auto" w:fill="FFFFFF"/>
              </w:rPr>
              <w:br w:type="textWrapping"/>
            </w:r>
            <w:r>
              <w:rPr>
                <w:rFonts w:ascii="黑体" w:hAnsi="黑体" w:eastAsia="黑体" w:cs="黑体"/>
                <w:color w:val="0F1115"/>
                <w:sz w:val="21"/>
                <w:szCs w:val="21"/>
                <w:shd w:val="clear" w:color="auto" w:fill="FFFFFF"/>
              </w:rPr>
              <w:t>2. 对甲供沥青混合料的现场验收、温度检测、应急处置有明确措施，得2分。</w:t>
            </w:r>
          </w:p>
        </w:tc>
      </w:tr>
      <w:tr w14:paraId="0C46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17" w:type="dxa"/>
            <w:shd w:val="clear" w:color="auto" w:fill="auto"/>
            <w:tcMar>
              <w:top w:w="150" w:type="dxa"/>
              <w:left w:w="240" w:type="dxa"/>
              <w:bottom w:w="150" w:type="dxa"/>
              <w:right w:w="240" w:type="dxa"/>
            </w:tcMar>
            <w:vAlign w:val="center"/>
          </w:tcPr>
          <w:p w14:paraId="3975240D">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施工方案与技术措施</w:t>
            </w:r>
          </w:p>
        </w:tc>
        <w:tc>
          <w:tcPr>
            <w:tcW w:w="751" w:type="dxa"/>
            <w:shd w:val="clear" w:color="auto" w:fill="auto"/>
            <w:tcMar>
              <w:top w:w="150" w:type="dxa"/>
              <w:left w:w="240" w:type="dxa"/>
              <w:bottom w:w="150" w:type="dxa"/>
              <w:right w:w="240" w:type="dxa"/>
            </w:tcMar>
            <w:vAlign w:val="center"/>
          </w:tcPr>
          <w:p w14:paraId="1D758D53">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5</w:t>
            </w:r>
          </w:p>
        </w:tc>
        <w:tc>
          <w:tcPr>
            <w:tcW w:w="6355" w:type="dxa"/>
            <w:shd w:val="clear" w:color="auto" w:fill="auto"/>
            <w:tcMar>
              <w:top w:w="150" w:type="dxa"/>
              <w:left w:w="240" w:type="dxa"/>
              <w:bottom w:w="150" w:type="dxa"/>
              <w:right w:w="0" w:type="dxa"/>
            </w:tcMar>
            <w:vAlign w:val="center"/>
          </w:tcPr>
          <w:p w14:paraId="496F5D9A">
            <w:pPr>
              <w:pStyle w:val="16"/>
              <w:widowControl/>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优（4-5分）：方案完整，关键工序技术先进、措施具体，能保障特殊工期下的施工质量，针对冬季施工有专项技术措施。</w:t>
            </w:r>
            <w:r>
              <w:rPr>
                <w:rFonts w:ascii="黑体" w:hAnsi="黑体" w:eastAsia="黑体" w:cs="黑体"/>
                <w:color w:val="0F1115"/>
                <w:sz w:val="21"/>
                <w:szCs w:val="21"/>
                <w:shd w:val="clear" w:color="auto" w:fill="FFFFFF"/>
              </w:rPr>
              <w:br w:type="textWrapping"/>
            </w:r>
            <w:r>
              <w:rPr>
                <w:rFonts w:ascii="黑体" w:hAnsi="黑体" w:eastAsia="黑体" w:cs="黑体"/>
                <w:color w:val="0F1115"/>
                <w:sz w:val="21"/>
                <w:szCs w:val="21"/>
                <w:shd w:val="clear" w:color="auto" w:fill="FFFFFF"/>
              </w:rPr>
              <w:t>良（2-3分）：方案较完整，技术措施可行。</w:t>
            </w:r>
            <w:r>
              <w:rPr>
                <w:rFonts w:ascii="黑体" w:hAnsi="黑体" w:eastAsia="黑体" w:cs="黑体"/>
                <w:color w:val="0F1115"/>
                <w:sz w:val="21"/>
                <w:szCs w:val="21"/>
                <w:shd w:val="clear" w:color="auto" w:fill="FFFFFF"/>
              </w:rPr>
              <w:br w:type="textWrapping"/>
            </w:r>
            <w:r>
              <w:rPr>
                <w:rFonts w:ascii="黑体" w:hAnsi="黑体" w:eastAsia="黑体" w:cs="黑体"/>
                <w:color w:val="0F1115"/>
                <w:sz w:val="21"/>
                <w:szCs w:val="21"/>
                <w:shd w:val="clear" w:color="auto" w:fill="FFFFFF"/>
              </w:rPr>
              <w:t>一般（0-1分）：方案简单，措施常规。</w:t>
            </w:r>
          </w:p>
        </w:tc>
      </w:tr>
      <w:tr w14:paraId="1C0D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17" w:type="dxa"/>
            <w:shd w:val="clear" w:color="auto" w:fill="auto"/>
            <w:tcMar>
              <w:top w:w="150" w:type="dxa"/>
              <w:left w:w="240" w:type="dxa"/>
              <w:bottom w:w="150" w:type="dxa"/>
              <w:right w:w="240" w:type="dxa"/>
            </w:tcMar>
            <w:vAlign w:val="center"/>
          </w:tcPr>
          <w:p w14:paraId="72415026">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质量保证体系与措施</w:t>
            </w:r>
          </w:p>
        </w:tc>
        <w:tc>
          <w:tcPr>
            <w:tcW w:w="751" w:type="dxa"/>
            <w:shd w:val="clear" w:color="auto" w:fill="auto"/>
            <w:tcMar>
              <w:top w:w="150" w:type="dxa"/>
              <w:left w:w="240" w:type="dxa"/>
              <w:bottom w:w="150" w:type="dxa"/>
              <w:right w:w="240" w:type="dxa"/>
            </w:tcMar>
            <w:vAlign w:val="center"/>
          </w:tcPr>
          <w:p w14:paraId="41BF1B50">
            <w:pPr>
              <w:pStyle w:val="16"/>
              <w:widowControl/>
              <w:jc w:val="center"/>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5</w:t>
            </w:r>
          </w:p>
        </w:tc>
        <w:tc>
          <w:tcPr>
            <w:tcW w:w="6355" w:type="dxa"/>
            <w:shd w:val="clear" w:color="auto" w:fill="auto"/>
            <w:tcMar>
              <w:top w:w="150" w:type="dxa"/>
              <w:left w:w="240" w:type="dxa"/>
              <w:bottom w:w="150" w:type="dxa"/>
              <w:right w:w="0" w:type="dxa"/>
            </w:tcMar>
            <w:vAlign w:val="center"/>
          </w:tcPr>
          <w:p w14:paraId="279EFDDB">
            <w:pPr>
              <w:pStyle w:val="16"/>
              <w:widowControl/>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优（</w:t>
            </w:r>
            <w:r>
              <w:rPr>
                <w:rFonts w:hint="eastAsia" w:ascii="黑体" w:hAnsi="黑体" w:eastAsia="黑体" w:cs="黑体"/>
                <w:color w:val="0F1115"/>
                <w:sz w:val="21"/>
                <w:szCs w:val="21"/>
                <w:shd w:val="clear" w:color="auto" w:fill="FFFFFF"/>
              </w:rPr>
              <w:t>5</w:t>
            </w:r>
            <w:r>
              <w:rPr>
                <w:rFonts w:ascii="黑体" w:hAnsi="黑体" w:eastAsia="黑体" w:cs="黑体"/>
                <w:color w:val="0F1115"/>
                <w:sz w:val="21"/>
                <w:szCs w:val="21"/>
                <w:shd w:val="clear" w:color="auto" w:fill="FFFFFF"/>
              </w:rPr>
              <w:t>分）：目标明确，体系健全，针对冬季及春节施工有专项质量保障与检测计划。</w:t>
            </w:r>
            <w:r>
              <w:rPr>
                <w:rFonts w:ascii="黑体" w:hAnsi="黑体" w:eastAsia="黑体" w:cs="黑体"/>
                <w:color w:val="0F1115"/>
                <w:sz w:val="21"/>
                <w:szCs w:val="21"/>
                <w:shd w:val="clear" w:color="auto" w:fill="FFFFFF"/>
              </w:rPr>
              <w:br w:type="textWrapping"/>
            </w:r>
            <w:r>
              <w:rPr>
                <w:rFonts w:ascii="黑体" w:hAnsi="黑体" w:eastAsia="黑体" w:cs="黑体"/>
                <w:color w:val="0F1115"/>
                <w:sz w:val="21"/>
                <w:szCs w:val="21"/>
                <w:shd w:val="clear" w:color="auto" w:fill="FFFFFF"/>
              </w:rPr>
              <w:t>良（</w:t>
            </w:r>
            <w:r>
              <w:rPr>
                <w:rFonts w:hint="eastAsia" w:ascii="黑体" w:hAnsi="黑体" w:eastAsia="黑体" w:cs="黑体"/>
                <w:color w:val="0F1115"/>
                <w:sz w:val="21"/>
                <w:szCs w:val="21"/>
                <w:shd w:val="clear" w:color="auto" w:fill="FFFFFF"/>
              </w:rPr>
              <w:t>3</w:t>
            </w:r>
            <w:r>
              <w:rPr>
                <w:rFonts w:ascii="黑体" w:hAnsi="黑体" w:eastAsia="黑体" w:cs="黑体"/>
                <w:color w:val="0F1115"/>
                <w:sz w:val="21"/>
                <w:szCs w:val="21"/>
                <w:shd w:val="clear" w:color="auto" w:fill="FFFFFF"/>
              </w:rPr>
              <w:t>分）：有保证体系和常规措施。</w:t>
            </w:r>
            <w:r>
              <w:rPr>
                <w:rFonts w:ascii="黑体" w:hAnsi="黑体" w:eastAsia="黑体" w:cs="黑体"/>
                <w:color w:val="0F1115"/>
                <w:sz w:val="21"/>
                <w:szCs w:val="21"/>
                <w:shd w:val="clear" w:color="auto" w:fill="FFFFFF"/>
              </w:rPr>
              <w:br w:type="textWrapping"/>
            </w:r>
            <w:r>
              <w:rPr>
                <w:rFonts w:ascii="黑体" w:hAnsi="黑体" w:eastAsia="黑体" w:cs="黑体"/>
                <w:color w:val="0F1115"/>
                <w:sz w:val="21"/>
                <w:szCs w:val="21"/>
                <w:shd w:val="clear" w:color="auto" w:fill="FFFFFF"/>
              </w:rPr>
              <w:t>一般（1分）：措施简单，缺乏针对性。</w:t>
            </w:r>
          </w:p>
        </w:tc>
      </w:tr>
      <w:tr w14:paraId="4E616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417" w:type="dxa"/>
            <w:shd w:val="clear" w:color="auto" w:fill="auto"/>
            <w:tcMar>
              <w:top w:w="150" w:type="dxa"/>
              <w:left w:w="240" w:type="dxa"/>
              <w:bottom w:w="150" w:type="dxa"/>
              <w:right w:w="240" w:type="dxa"/>
            </w:tcMar>
            <w:vAlign w:val="center"/>
          </w:tcPr>
          <w:p w14:paraId="65967D82">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施工进度计划与工期保证措施</w:t>
            </w:r>
          </w:p>
        </w:tc>
        <w:tc>
          <w:tcPr>
            <w:tcW w:w="751" w:type="dxa"/>
            <w:shd w:val="clear" w:color="auto" w:fill="auto"/>
            <w:tcMar>
              <w:top w:w="150" w:type="dxa"/>
              <w:left w:w="240" w:type="dxa"/>
              <w:bottom w:w="150" w:type="dxa"/>
              <w:right w:w="240" w:type="dxa"/>
            </w:tcMar>
            <w:vAlign w:val="center"/>
          </w:tcPr>
          <w:p w14:paraId="6C95DC34">
            <w:pPr>
              <w:pStyle w:val="16"/>
              <w:widowControl/>
              <w:jc w:val="center"/>
              <w:rPr>
                <w:rFonts w:ascii="黑体" w:hAnsi="黑体" w:eastAsia="黑体" w:cs="黑体"/>
                <w:color w:val="0F1115"/>
                <w:sz w:val="21"/>
                <w:szCs w:val="21"/>
                <w:shd w:val="clear" w:color="auto" w:fill="FFFFFF"/>
              </w:rPr>
            </w:pPr>
            <w:r>
              <w:rPr>
                <w:rFonts w:hint="eastAsia" w:ascii="黑体" w:hAnsi="黑体" w:eastAsia="黑体" w:cs="黑体"/>
                <w:color w:val="0F1115"/>
                <w:sz w:val="21"/>
                <w:szCs w:val="21"/>
                <w:shd w:val="clear" w:color="auto" w:fill="FFFFFF"/>
              </w:rPr>
              <w:t>7</w:t>
            </w:r>
          </w:p>
        </w:tc>
        <w:tc>
          <w:tcPr>
            <w:tcW w:w="6355" w:type="dxa"/>
            <w:shd w:val="clear" w:color="auto" w:fill="auto"/>
            <w:tcMar>
              <w:top w:w="150" w:type="dxa"/>
              <w:left w:w="240" w:type="dxa"/>
              <w:bottom w:w="150" w:type="dxa"/>
              <w:right w:w="0" w:type="dxa"/>
            </w:tcMar>
            <w:vAlign w:val="center"/>
          </w:tcPr>
          <w:p w14:paraId="10084362">
            <w:pPr>
              <w:pStyle w:val="16"/>
              <w:widowControl/>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优（</w:t>
            </w:r>
            <w:r>
              <w:rPr>
                <w:rFonts w:hint="eastAsia" w:ascii="黑体" w:hAnsi="黑体" w:eastAsia="黑体" w:cs="黑体"/>
                <w:color w:val="0F1115"/>
                <w:sz w:val="21"/>
                <w:szCs w:val="21"/>
                <w:shd w:val="clear" w:color="auto" w:fill="FFFFFF"/>
              </w:rPr>
              <w:t>5</w:t>
            </w:r>
            <w:r>
              <w:rPr>
                <w:rFonts w:ascii="黑体" w:hAnsi="黑体" w:eastAsia="黑体" w:cs="黑体"/>
                <w:color w:val="0F1115"/>
                <w:sz w:val="21"/>
                <w:szCs w:val="21"/>
                <w:shd w:val="clear" w:color="auto" w:fill="FFFFFF"/>
              </w:rPr>
              <w:t>-</w:t>
            </w:r>
            <w:r>
              <w:rPr>
                <w:rFonts w:hint="eastAsia" w:ascii="黑体" w:hAnsi="黑体" w:eastAsia="黑体" w:cs="黑体"/>
                <w:color w:val="0F1115"/>
                <w:sz w:val="21"/>
                <w:szCs w:val="21"/>
                <w:shd w:val="clear" w:color="auto" w:fill="FFFFFF"/>
              </w:rPr>
              <w:t>7</w:t>
            </w:r>
            <w:r>
              <w:rPr>
                <w:rFonts w:ascii="黑体" w:hAnsi="黑体" w:eastAsia="黑体" w:cs="黑体"/>
                <w:color w:val="0F1115"/>
                <w:sz w:val="21"/>
                <w:szCs w:val="21"/>
                <w:shd w:val="clear" w:color="auto" w:fill="FFFFFF"/>
              </w:rPr>
              <w:t>分）：进度计划（横道图）精确到小时，完全响应两个强制节点，春节施工保障方案与应急预案具体可靠，资源投入计划详尽。</w:t>
            </w:r>
            <w:r>
              <w:rPr>
                <w:rFonts w:ascii="黑体" w:hAnsi="黑体" w:eastAsia="黑体" w:cs="黑体"/>
                <w:color w:val="0F1115"/>
                <w:sz w:val="21"/>
                <w:szCs w:val="21"/>
                <w:shd w:val="clear" w:color="auto" w:fill="FFFFFF"/>
              </w:rPr>
              <w:br w:type="textWrapping"/>
            </w:r>
            <w:r>
              <w:rPr>
                <w:rFonts w:ascii="黑体" w:hAnsi="黑体" w:eastAsia="黑体" w:cs="黑体"/>
                <w:color w:val="0F1115"/>
                <w:sz w:val="21"/>
                <w:szCs w:val="21"/>
                <w:shd w:val="clear" w:color="auto" w:fill="FFFFFF"/>
              </w:rPr>
              <w:t>良（</w:t>
            </w:r>
            <w:r>
              <w:rPr>
                <w:rFonts w:hint="eastAsia" w:ascii="黑体" w:hAnsi="黑体" w:eastAsia="黑体" w:cs="黑体"/>
                <w:color w:val="0F1115"/>
                <w:sz w:val="21"/>
                <w:szCs w:val="21"/>
                <w:shd w:val="clear" w:color="auto" w:fill="FFFFFF"/>
              </w:rPr>
              <w:t>3</w:t>
            </w:r>
            <w:r>
              <w:rPr>
                <w:rFonts w:ascii="黑体" w:hAnsi="黑体" w:eastAsia="黑体" w:cs="黑体"/>
                <w:color w:val="0F1115"/>
                <w:sz w:val="21"/>
                <w:szCs w:val="21"/>
                <w:shd w:val="clear" w:color="auto" w:fill="FFFFFF"/>
              </w:rPr>
              <w:t>-</w:t>
            </w:r>
            <w:r>
              <w:rPr>
                <w:rFonts w:hint="eastAsia" w:ascii="黑体" w:hAnsi="黑体" w:eastAsia="黑体" w:cs="黑体"/>
                <w:color w:val="0F1115"/>
                <w:sz w:val="21"/>
                <w:szCs w:val="21"/>
                <w:shd w:val="clear" w:color="auto" w:fill="FFFFFF"/>
              </w:rPr>
              <w:t>5</w:t>
            </w:r>
            <w:r>
              <w:rPr>
                <w:rFonts w:ascii="黑体" w:hAnsi="黑体" w:eastAsia="黑体" w:cs="黑体"/>
                <w:color w:val="0F1115"/>
                <w:sz w:val="21"/>
                <w:szCs w:val="21"/>
                <w:shd w:val="clear" w:color="auto" w:fill="FFFFFF"/>
              </w:rPr>
              <w:t>分）：计划合理，有保障措施，但春节安排或资源计划不够具体。</w:t>
            </w:r>
            <w:r>
              <w:rPr>
                <w:rFonts w:ascii="黑体" w:hAnsi="黑体" w:eastAsia="黑体" w:cs="黑体"/>
                <w:color w:val="0F1115"/>
                <w:sz w:val="21"/>
                <w:szCs w:val="21"/>
                <w:shd w:val="clear" w:color="auto" w:fill="FFFFFF"/>
              </w:rPr>
              <w:br w:type="textWrapping"/>
            </w:r>
            <w:r>
              <w:rPr>
                <w:rFonts w:ascii="黑体" w:hAnsi="黑体" w:eastAsia="黑体" w:cs="黑体"/>
                <w:color w:val="0F1115"/>
                <w:sz w:val="21"/>
                <w:szCs w:val="21"/>
                <w:shd w:val="clear" w:color="auto" w:fill="FFFFFF"/>
              </w:rPr>
              <w:t>一般（0-</w:t>
            </w:r>
            <w:r>
              <w:rPr>
                <w:rFonts w:hint="eastAsia" w:ascii="黑体" w:hAnsi="黑体" w:eastAsia="黑体" w:cs="黑体"/>
                <w:color w:val="0F1115"/>
                <w:sz w:val="21"/>
                <w:szCs w:val="21"/>
                <w:shd w:val="clear" w:color="auto" w:fill="FFFFFF"/>
              </w:rPr>
              <w:t>3</w:t>
            </w:r>
            <w:r>
              <w:rPr>
                <w:rFonts w:ascii="黑体" w:hAnsi="黑体" w:eastAsia="黑体" w:cs="黑体"/>
                <w:color w:val="0F1115"/>
                <w:sz w:val="21"/>
                <w:szCs w:val="21"/>
                <w:shd w:val="clear" w:color="auto" w:fill="FFFFFF"/>
              </w:rPr>
              <w:t>分）：计划简单，措施空泛。</w:t>
            </w:r>
          </w:p>
        </w:tc>
      </w:tr>
    </w:tbl>
    <w:p w14:paraId="43BB13F2">
      <w:pPr>
        <w:pStyle w:val="16"/>
        <w:widowControl/>
        <w:spacing w:line="592" w:lineRule="exact"/>
        <w:ind w:firstLine="640" w:firstLineChars="2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(二) 商务标评分标准（70分）</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653"/>
        <w:gridCol w:w="690"/>
        <w:gridCol w:w="7262"/>
      </w:tblGrid>
      <w:tr w14:paraId="3675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402" w:type="pct"/>
            <w:shd w:val="clear" w:color="auto" w:fill="auto"/>
            <w:tcMar>
              <w:top w:w="150" w:type="dxa"/>
              <w:left w:w="0" w:type="dxa"/>
              <w:bottom w:w="150" w:type="dxa"/>
              <w:right w:w="240" w:type="dxa"/>
            </w:tcMar>
            <w:vAlign w:val="center"/>
          </w:tcPr>
          <w:p w14:paraId="037A99E1">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项目</w:t>
            </w:r>
          </w:p>
        </w:tc>
        <w:tc>
          <w:tcPr>
            <w:tcW w:w="356" w:type="pct"/>
            <w:shd w:val="clear" w:color="auto" w:fill="auto"/>
            <w:tcMar>
              <w:top w:w="150" w:type="dxa"/>
              <w:left w:w="240" w:type="dxa"/>
              <w:bottom w:w="150" w:type="dxa"/>
              <w:right w:w="240" w:type="dxa"/>
            </w:tcMar>
            <w:vAlign w:val="center"/>
          </w:tcPr>
          <w:p w14:paraId="4BA74362">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分值</w:t>
            </w:r>
          </w:p>
        </w:tc>
        <w:tc>
          <w:tcPr>
            <w:tcW w:w="4241" w:type="pct"/>
            <w:shd w:val="clear" w:color="auto" w:fill="auto"/>
            <w:tcMar>
              <w:top w:w="150" w:type="dxa"/>
              <w:left w:w="240" w:type="dxa"/>
              <w:bottom w:w="150" w:type="dxa"/>
              <w:right w:w="240" w:type="dxa"/>
            </w:tcMar>
            <w:vAlign w:val="center"/>
          </w:tcPr>
          <w:p w14:paraId="77A1D21A">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评 分 标 准</w:t>
            </w:r>
          </w:p>
        </w:tc>
      </w:tr>
      <w:tr w14:paraId="60E4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02" w:type="pct"/>
            <w:shd w:val="clear" w:color="auto" w:fill="auto"/>
            <w:tcMar>
              <w:top w:w="150" w:type="dxa"/>
              <w:left w:w="0" w:type="dxa"/>
              <w:bottom w:w="150" w:type="dxa"/>
              <w:right w:w="240" w:type="dxa"/>
            </w:tcMar>
            <w:vAlign w:val="center"/>
          </w:tcPr>
          <w:p w14:paraId="4A7FF43D">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投标报价</w:t>
            </w:r>
          </w:p>
        </w:tc>
        <w:tc>
          <w:tcPr>
            <w:tcW w:w="356" w:type="pct"/>
            <w:shd w:val="clear" w:color="auto" w:fill="auto"/>
            <w:tcMar>
              <w:top w:w="150" w:type="dxa"/>
              <w:left w:w="240" w:type="dxa"/>
              <w:bottom w:w="150" w:type="dxa"/>
              <w:right w:w="240" w:type="dxa"/>
            </w:tcMar>
            <w:vAlign w:val="center"/>
          </w:tcPr>
          <w:p w14:paraId="2EE4DE84">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65</w:t>
            </w:r>
          </w:p>
        </w:tc>
        <w:tc>
          <w:tcPr>
            <w:tcW w:w="4241" w:type="pct"/>
            <w:shd w:val="clear" w:color="auto" w:fill="auto"/>
            <w:tcMar>
              <w:top w:w="150" w:type="dxa"/>
              <w:left w:w="240" w:type="dxa"/>
              <w:bottom w:w="150" w:type="dxa"/>
              <w:right w:w="0" w:type="dxa"/>
            </w:tcMar>
            <w:vAlign w:val="center"/>
          </w:tcPr>
          <w:p w14:paraId="427D88C2">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以所有有效投标报价的算术平均值作为评标基准价。投标报价等于基准价</w:t>
            </w:r>
            <w:r>
              <w:rPr>
                <w:rFonts w:hint="eastAsia" w:ascii="黑体" w:hAnsi="黑体" w:eastAsia="黑体" w:cs="黑体"/>
                <w:color w:val="0F1115"/>
                <w:sz w:val="21"/>
                <w:szCs w:val="21"/>
                <w:shd w:val="clear" w:color="auto" w:fill="FFFFFF"/>
              </w:rPr>
              <w:t>的</w:t>
            </w:r>
            <w:r>
              <w:rPr>
                <w:rFonts w:ascii="黑体" w:hAnsi="黑体" w:eastAsia="黑体" w:cs="黑体"/>
                <w:color w:val="0F1115"/>
                <w:sz w:val="21"/>
                <w:szCs w:val="21"/>
                <w:shd w:val="clear" w:color="auto" w:fill="FFFFFF"/>
              </w:rPr>
              <w:t>得</w:t>
            </w:r>
            <w:r>
              <w:rPr>
                <w:rFonts w:hint="eastAsia" w:ascii="黑体" w:hAnsi="黑体" w:eastAsia="黑体" w:cs="黑体"/>
                <w:color w:val="0F1115"/>
                <w:sz w:val="21"/>
                <w:szCs w:val="21"/>
                <w:shd w:val="clear" w:color="auto" w:fill="FFFFFF"/>
              </w:rPr>
              <w:t>65</w:t>
            </w:r>
            <w:r>
              <w:rPr>
                <w:rFonts w:ascii="黑体" w:hAnsi="黑体" w:eastAsia="黑体" w:cs="黑体"/>
                <w:color w:val="0F1115"/>
                <w:sz w:val="21"/>
                <w:szCs w:val="21"/>
                <w:shd w:val="clear" w:color="auto" w:fill="FFFFFF"/>
              </w:rPr>
              <w:t>分；每高于基准价</w:t>
            </w:r>
            <w:r>
              <w:rPr>
                <w:rFonts w:hint="eastAsia" w:ascii="黑体" w:hAnsi="黑体" w:eastAsia="黑体" w:cs="黑体"/>
                <w:color w:val="0F1115"/>
                <w:sz w:val="21"/>
                <w:szCs w:val="21"/>
                <w:shd w:val="clear" w:color="auto" w:fill="FFFFFF"/>
              </w:rPr>
              <w:t>1</w:t>
            </w:r>
            <w:r>
              <w:rPr>
                <w:rFonts w:ascii="黑体" w:hAnsi="黑体" w:eastAsia="黑体" w:cs="黑体"/>
                <w:color w:val="0F1115"/>
                <w:sz w:val="21"/>
                <w:szCs w:val="21"/>
                <w:shd w:val="clear" w:color="auto" w:fill="FFFFFF"/>
              </w:rPr>
              <w:t>%扣0.5分，每低于基准价1%扣0.3分，扣完为止（不足1%按插入法计算，保留两位小数）。</w:t>
            </w:r>
          </w:p>
        </w:tc>
      </w:tr>
      <w:tr w14:paraId="42B8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02" w:type="pct"/>
            <w:shd w:val="clear" w:color="auto" w:fill="auto"/>
            <w:tcMar>
              <w:top w:w="150" w:type="dxa"/>
              <w:left w:w="0" w:type="dxa"/>
              <w:bottom w:w="150" w:type="dxa"/>
              <w:right w:w="240" w:type="dxa"/>
            </w:tcMar>
            <w:vAlign w:val="center"/>
          </w:tcPr>
          <w:p w14:paraId="46B6D08A">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报价合理性</w:t>
            </w:r>
          </w:p>
        </w:tc>
        <w:tc>
          <w:tcPr>
            <w:tcW w:w="356" w:type="pct"/>
            <w:shd w:val="clear" w:color="auto" w:fill="auto"/>
            <w:tcMar>
              <w:top w:w="150" w:type="dxa"/>
              <w:left w:w="240" w:type="dxa"/>
              <w:bottom w:w="150" w:type="dxa"/>
              <w:right w:w="240" w:type="dxa"/>
            </w:tcMar>
            <w:vAlign w:val="center"/>
          </w:tcPr>
          <w:p w14:paraId="01C6CFA2">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5</w:t>
            </w:r>
          </w:p>
        </w:tc>
        <w:tc>
          <w:tcPr>
            <w:tcW w:w="4241" w:type="pct"/>
            <w:shd w:val="clear" w:color="auto" w:fill="auto"/>
            <w:tcMar>
              <w:top w:w="150" w:type="dxa"/>
              <w:left w:w="240" w:type="dxa"/>
              <w:bottom w:w="150" w:type="dxa"/>
              <w:right w:w="0" w:type="dxa"/>
            </w:tcMar>
            <w:vAlign w:val="center"/>
          </w:tcPr>
          <w:p w14:paraId="2DD6E36A">
            <w:pPr>
              <w:pStyle w:val="16"/>
              <w:widowControl/>
              <w:jc w:val="center"/>
              <w:rPr>
                <w:rFonts w:ascii="黑体" w:hAnsi="黑体" w:eastAsia="黑体" w:cs="黑体"/>
                <w:color w:val="0F1115"/>
                <w:sz w:val="21"/>
                <w:szCs w:val="21"/>
                <w:shd w:val="clear" w:color="auto" w:fill="FFFFFF"/>
              </w:rPr>
            </w:pPr>
            <w:r>
              <w:rPr>
                <w:rFonts w:ascii="黑体" w:hAnsi="黑体" w:eastAsia="黑体" w:cs="黑体"/>
                <w:color w:val="0F1115"/>
                <w:sz w:val="21"/>
                <w:szCs w:val="21"/>
                <w:shd w:val="clear" w:color="auto" w:fill="FFFFFF"/>
              </w:rPr>
              <w:t>经专家评审综合单价计算合理，得0-5分；发生超出常规不均衡报价（明显高或明显低于市场报价）每处扣1分；有单项费用与总费用不相吻合而又解释不清的，扣0～2分。</w:t>
            </w:r>
          </w:p>
        </w:tc>
      </w:tr>
    </w:tbl>
    <w:p w14:paraId="2B61935D">
      <w:pPr>
        <w:keepNext/>
        <w:keepLines/>
        <w:spacing w:before="260" w:after="260" w:line="415" w:lineRule="auto"/>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附件B：废标条件</w:t>
      </w:r>
    </w:p>
    <w:p w14:paraId="595F2F46">
      <w:pPr>
        <w:spacing w:before="156" w:beforeLines="50" w:after="156" w:afterLines="50" w:line="48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废 标 条 件</w:t>
      </w:r>
    </w:p>
    <w:p w14:paraId="33A57E20">
      <w:pPr>
        <w:spacing w:before="156" w:beforeLines="50" w:after="156" w:afterLines="50" w:line="48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B0.总则</w:t>
      </w:r>
    </w:p>
    <w:p w14:paraId="6EE46877">
      <w:pPr>
        <w:spacing w:before="156" w:beforeLines="50" w:after="156" w:afterLines="50" w:line="48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本附件所集中列示的废标条件，是本章“评标办法”的组成部分，是对第二章“投标人须知”和本章正文部分所规定的废标条件的总结和补充。</w:t>
      </w:r>
    </w:p>
    <w:p w14:paraId="4B888B13">
      <w:pPr>
        <w:spacing w:line="48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B1.废标条件 </w:t>
      </w:r>
    </w:p>
    <w:p w14:paraId="504C3CD5">
      <w:pPr>
        <w:spacing w:line="48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投标人或其投标文件有下列情形之一的，其投标作废标处理：</w:t>
      </w:r>
    </w:p>
    <w:p w14:paraId="17C6848F">
      <w:pPr>
        <w:spacing w:line="48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B1.1有第二章“投标人须知”第1.4.3项规定的任何一种情形的。</w:t>
      </w:r>
    </w:p>
    <w:p w14:paraId="35D818DF">
      <w:pPr>
        <w:spacing w:line="48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B1.2 有串通投标或弄虚作假或其他违法行为的，详见下款：</w:t>
      </w:r>
    </w:p>
    <w:p w14:paraId="3E3F0252">
      <w:pPr>
        <w:spacing w:line="480" w:lineRule="exact"/>
        <w:ind w:firstLine="640" w:firstLineChars="20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B1.2.1投标人之间协商投标报价等投标文件的实质性内容；</w:t>
      </w:r>
    </w:p>
    <w:p w14:paraId="1248DF6E">
      <w:pPr>
        <w:spacing w:line="480" w:lineRule="exact"/>
        <w:ind w:firstLine="640" w:firstLineChars="20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B1.2.2投标人之间约定中标人；</w:t>
      </w:r>
    </w:p>
    <w:p w14:paraId="10B0380F">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 xml:space="preserve"> B1.2.3投标人之间约定部分投标人放弃投标或者中标；</w:t>
      </w:r>
    </w:p>
    <w:p w14:paraId="53635AA9">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 xml:space="preserve"> B1.2.4属于同一集团、协会、商会等组织成员的投标人按照该组织要求协同投标；</w:t>
      </w:r>
    </w:p>
    <w:p w14:paraId="2599DC9D">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 xml:space="preserve"> B1.2.5投标人之间为谋取中标或者排斥特定投标人而采取的其他联合行动；</w:t>
      </w:r>
    </w:p>
    <w:p w14:paraId="1AB136FF">
      <w:pPr>
        <w:autoSpaceDE w:val="0"/>
        <w:autoSpaceDN w:val="0"/>
        <w:spacing w:line="500" w:lineRule="exact"/>
        <w:ind w:firstLine="646" w:firstLineChars="202"/>
        <w:jc w:val="left"/>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B1.2.6不同投标人的投标文件由同一单位或者个人编制；</w:t>
      </w:r>
    </w:p>
    <w:p w14:paraId="1B97A4D0">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 xml:space="preserve"> B1.2.7不同投标人委托同一单位或者个人办理投标事宜；</w:t>
      </w:r>
    </w:p>
    <w:p w14:paraId="239A80AD">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 xml:space="preserve"> B1.2.8不同投标人的投标文件载明的项目管理成员为同一人；</w:t>
      </w:r>
    </w:p>
    <w:p w14:paraId="794740C4">
      <w:pPr>
        <w:autoSpaceDE w:val="0"/>
        <w:autoSpaceDN w:val="0"/>
        <w:spacing w:line="500" w:lineRule="exact"/>
        <w:ind w:firstLine="480" w:firstLineChars="150"/>
        <w:jc w:val="left"/>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 xml:space="preserve"> B1.2.9 不同投标人聘请同一个人为其投标提供技术或者经济咨询服务的，但招标工程本身要求采用专有技术的除外；</w:t>
      </w:r>
    </w:p>
    <w:p w14:paraId="3D8C89D4">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B1.2.10不同投标人的投标文件异常一致或者投标报价呈规律性差异；</w:t>
      </w:r>
    </w:p>
    <w:p w14:paraId="53904FC6">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B1.2.11不同投标人的投标文件错漏之处一致的；</w:t>
      </w:r>
    </w:p>
    <w:p w14:paraId="62513CE3">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B1.2.12不同投标人的投标文件相互混装；</w:t>
      </w:r>
    </w:p>
    <w:p w14:paraId="6199C820">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B1.2.13不同投标人的投标文件由同一台电脑编制或者同一台附属设备打印；</w:t>
      </w:r>
    </w:p>
    <w:p w14:paraId="639F5089">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B1.2.14不同投标人的投标保证金从同一单位或者个人的账户转出；</w:t>
      </w:r>
    </w:p>
    <w:p w14:paraId="71E17A99">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B1.2.15不同投标人使用同一个人或者企业资金交纳投标保证金或者投标保函的反担保的；</w:t>
      </w:r>
    </w:p>
    <w:p w14:paraId="72292FD2">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B1.2.16使用伪造、变造的许可证件；</w:t>
      </w:r>
    </w:p>
    <w:p w14:paraId="311C8F64">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B1.2.17提供虚假的财务状况或者业绩；</w:t>
      </w:r>
    </w:p>
    <w:p w14:paraId="2FB5ABCC">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B1.2.18提供虚假的项目负责人或者主要技术人员简历、劳动关系证明；</w:t>
      </w:r>
    </w:p>
    <w:p w14:paraId="678C7AFD">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B1.2.19提供虚假的信用状况；</w:t>
      </w:r>
    </w:p>
    <w:p w14:paraId="13571980">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B1.2.20其他弄虚作假的行为；</w:t>
      </w:r>
    </w:p>
    <w:p w14:paraId="0F79F1F5">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B1.2.21招标人在开标前开启投标文件并将有关信息泄露给其他投标人；</w:t>
      </w:r>
    </w:p>
    <w:p w14:paraId="54440F28">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B1.2.22招标人直接或者间接向投标人泄露标底、评标委员会成员等信息；</w:t>
      </w:r>
    </w:p>
    <w:p w14:paraId="5206527D">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B1.2.23招标人明示或者暗示投标人压低或者抬高投标报价；</w:t>
      </w:r>
    </w:p>
    <w:p w14:paraId="579760E6">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B1.2.24招标人授意投标人撤换、修改投标文件；</w:t>
      </w:r>
    </w:p>
    <w:p w14:paraId="656D2913">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B1.2.25招标人明示或者暗示投标人为特定投标人中标提供方便；</w:t>
      </w:r>
    </w:p>
    <w:p w14:paraId="27CDAFB8">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B1.2.26招标人与投标人为谋求特定投标人中标而采取的其他串通行为；</w:t>
      </w:r>
    </w:p>
    <w:p w14:paraId="18DAFC50">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B1.2.27评标委员会认定的其他串通投标情形；</w:t>
      </w:r>
    </w:p>
    <w:p w14:paraId="240E5411">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B1.3不按评标委员会要求澄清、说明或补正的。</w:t>
      </w:r>
    </w:p>
    <w:p w14:paraId="54BBE332">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B1.4在形式评审、资格评审（适用于未进行资格预审的）、响应性评审中，评标委员会认定投标人的投标文件不符合评标办法前附表中规定的任何一项评审标准的。</w:t>
      </w:r>
    </w:p>
    <w:p w14:paraId="4707D8E5">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B1.5当投标人资格预审申请文件的内容发生重大变化时，其在投标文件中更新的资料，未能通过资格评审的（适用于已进行资格预审的）。</w:t>
      </w:r>
    </w:p>
    <w:p w14:paraId="131899F8">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B1.6投标报价文件（投标函除外）未经有资格的注册造价工程师签字并加盖其执业专用章的(盖章的注册造价工程师应是在本单位注册人员，或是投标人委托的造价咨询机构注册造价工程师并附委托合同)。</w:t>
      </w:r>
    </w:p>
    <w:p w14:paraId="31D76B3A">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B1.7在技术标和资信标评审中，评标委员会认定投标人的投标未能通过此项评审的。</w:t>
      </w:r>
    </w:p>
    <w:p w14:paraId="30396963">
      <w:pPr>
        <w:autoSpaceDE w:val="0"/>
        <w:autoSpaceDN w:val="0"/>
        <w:spacing w:line="500" w:lineRule="exact"/>
        <w:ind w:firstLine="360"/>
        <w:rPr>
          <w:rFonts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B1.8评标委员会认定投标人以低于成本报价竞标的。</w:t>
      </w:r>
    </w:p>
    <w:p w14:paraId="41FF23BB">
      <w:pPr>
        <w:autoSpaceDE w:val="0"/>
        <w:autoSpaceDN w:val="0"/>
        <w:spacing w:line="500" w:lineRule="exact"/>
        <w:ind w:firstLine="360"/>
        <w:rPr>
          <w:rFonts w:ascii="仿宋_GB2312" w:hAnsi="仿宋_GB2312" w:eastAsia="仿宋_GB2312" w:cs="仿宋_GB2312"/>
          <w:b/>
          <w:color w:val="000000"/>
          <w:sz w:val="32"/>
          <w:szCs w:val="32"/>
        </w:rPr>
      </w:pPr>
      <w:r>
        <w:rPr>
          <w:rFonts w:hint="eastAsia" w:ascii="仿宋_GB2312" w:hAnsi="仿宋_GB2312" w:eastAsia="仿宋_GB2312" w:cs="仿宋_GB2312"/>
          <w:bCs/>
          <w:color w:val="000000"/>
          <w:kern w:val="0"/>
          <w:sz w:val="32"/>
          <w:szCs w:val="32"/>
        </w:rPr>
        <w:t>B1.9投标人未按第二章“投标人须知”第10.6款规定出席开标会的。</w:t>
      </w:r>
    </w:p>
    <w:p w14:paraId="1696C996">
      <w:pPr>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br w:type="page"/>
      </w:r>
    </w:p>
    <w:p w14:paraId="31ECD912">
      <w:pPr>
        <w:pStyle w:val="16"/>
        <w:widowControl/>
        <w:numPr>
          <w:ilvl w:val="0"/>
          <w:numId w:val="4"/>
        </w:numPr>
        <w:spacing w:line="592" w:lineRule="exact"/>
        <w:ind w:firstLine="880" w:firstLineChars="200"/>
        <w:jc w:val="center"/>
        <w:outlineLvl w:val="0"/>
        <w:rPr>
          <w:rFonts w:ascii="方正小标宋简体" w:hAnsi="方正小标宋简体" w:eastAsia="方正小标宋简体" w:cs="方正小标宋简体"/>
          <w:color w:val="0F1115"/>
          <w:sz w:val="44"/>
          <w:szCs w:val="44"/>
          <w:shd w:val="clear" w:color="auto" w:fill="FFFFFF"/>
        </w:rPr>
      </w:pPr>
      <w:bookmarkStart w:id="652" w:name="_Toc25484"/>
      <w:r>
        <w:rPr>
          <w:rFonts w:hint="eastAsia" w:ascii="方正小标宋简体" w:hAnsi="方正小标宋简体" w:eastAsia="方正小标宋简体" w:cs="方正小标宋简体"/>
          <w:color w:val="0F1115"/>
          <w:sz w:val="44"/>
          <w:szCs w:val="44"/>
          <w:shd w:val="clear" w:color="auto" w:fill="FFFFFF"/>
        </w:rPr>
        <w:t>合同条款及格式</w:t>
      </w:r>
      <w:bookmarkEnd w:id="652"/>
    </w:p>
    <w:p w14:paraId="3EEF44A8">
      <w:pPr>
        <w:pStyle w:val="16"/>
        <w:widowControl/>
        <w:spacing w:line="592" w:lineRule="exact"/>
        <w:jc w:val="center"/>
        <w:rPr>
          <w:rFonts w:ascii="方正小标宋简体" w:hAnsi="方正小标宋简体" w:eastAsia="方正小标宋简体" w:cs="方正小标宋简体"/>
          <w:color w:val="0F1115"/>
          <w:sz w:val="44"/>
          <w:szCs w:val="44"/>
          <w:shd w:val="clear" w:color="auto" w:fill="FFFFFF"/>
        </w:rPr>
      </w:pPr>
      <w:r>
        <w:rPr>
          <w:rFonts w:ascii="方正小标宋简体" w:hAnsi="方正小标宋简体" w:eastAsia="方正小标宋简体" w:cs="方正小标宋简体"/>
          <w:color w:val="0F1115"/>
          <w:sz w:val="44"/>
          <w:szCs w:val="44"/>
          <w:shd w:val="clear" w:color="auto" w:fill="FFFFFF"/>
        </w:rPr>
        <w:t>矿山连接道路维修工程沥青混合料</w:t>
      </w:r>
    </w:p>
    <w:p w14:paraId="1EAD43CB">
      <w:pPr>
        <w:pStyle w:val="16"/>
        <w:widowControl/>
        <w:spacing w:line="592" w:lineRule="exact"/>
        <w:jc w:val="center"/>
        <w:rPr>
          <w:rFonts w:ascii="方正小标宋简体" w:hAnsi="方正小标宋简体" w:eastAsia="方正小标宋简体" w:cs="方正小标宋简体"/>
          <w:color w:val="0F1115"/>
          <w:sz w:val="44"/>
          <w:szCs w:val="44"/>
          <w:shd w:val="clear" w:color="auto" w:fill="FFFFFF"/>
        </w:rPr>
      </w:pPr>
      <w:r>
        <w:rPr>
          <w:rFonts w:ascii="方正小标宋简体" w:hAnsi="方正小标宋简体" w:eastAsia="方正小标宋简体" w:cs="方正小标宋简体"/>
          <w:color w:val="0F1115"/>
          <w:sz w:val="44"/>
          <w:szCs w:val="44"/>
          <w:shd w:val="clear" w:color="auto" w:fill="FFFFFF"/>
        </w:rPr>
        <w:t>采购合同</w:t>
      </w:r>
    </w:p>
    <w:p w14:paraId="2724339A">
      <w:pPr>
        <w:ind w:firstLine="3456" w:firstLineChars="1646"/>
      </w:pPr>
    </w:p>
    <w:p w14:paraId="51DB0647">
      <w:pPr>
        <w:ind w:firstLine="3456" w:firstLineChars="1646"/>
      </w:pPr>
    </w:p>
    <w:p w14:paraId="6149B5D2">
      <w:pPr>
        <w:ind w:firstLine="3456" w:firstLineChars="1646"/>
      </w:pPr>
    </w:p>
    <w:p w14:paraId="3614DBF9">
      <w:pPr>
        <w:ind w:firstLine="3456" w:firstLineChars="1646"/>
      </w:pPr>
    </w:p>
    <w:p w14:paraId="61011BA6">
      <w:pPr>
        <w:ind w:firstLine="3456" w:firstLineChars="1646"/>
      </w:pPr>
    </w:p>
    <w:p w14:paraId="03B70D92">
      <w:pPr>
        <w:ind w:firstLine="3456" w:firstLineChars="1646"/>
      </w:pPr>
    </w:p>
    <w:p w14:paraId="21ABCA35">
      <w:pPr>
        <w:ind w:firstLine="3456" w:firstLineChars="1646"/>
      </w:pPr>
    </w:p>
    <w:p w14:paraId="58BCEF1E">
      <w:pPr>
        <w:ind w:firstLine="3456" w:firstLineChars="1646"/>
      </w:pPr>
    </w:p>
    <w:p w14:paraId="794A2B26"/>
    <w:p w14:paraId="28A638AD">
      <w:pPr>
        <w:spacing w:line="360" w:lineRule="auto"/>
        <w:ind w:firstLine="1120" w:firstLineChars="400"/>
        <w:rPr>
          <w:rFonts w:ascii="黑体" w:eastAsia="黑体"/>
          <w:sz w:val="28"/>
          <w:szCs w:val="28"/>
        </w:rPr>
      </w:pPr>
    </w:p>
    <w:p w14:paraId="783B3C9F">
      <w:pPr>
        <w:spacing w:line="360" w:lineRule="auto"/>
        <w:ind w:firstLine="1120" w:firstLineChars="400"/>
        <w:rPr>
          <w:rFonts w:ascii="黑体" w:eastAsia="黑体"/>
          <w:sz w:val="28"/>
          <w:szCs w:val="28"/>
        </w:rPr>
      </w:pPr>
    </w:p>
    <w:p w14:paraId="28270D47">
      <w:pPr>
        <w:spacing w:line="360" w:lineRule="auto"/>
        <w:ind w:firstLine="1120" w:firstLineChars="400"/>
        <w:rPr>
          <w:rFonts w:ascii="黑体" w:eastAsia="黑体"/>
          <w:sz w:val="28"/>
          <w:szCs w:val="28"/>
        </w:rPr>
      </w:pPr>
    </w:p>
    <w:p w14:paraId="4CAAAB11">
      <w:pPr>
        <w:spacing w:line="360" w:lineRule="auto"/>
        <w:ind w:firstLine="1120" w:firstLineChars="400"/>
        <w:rPr>
          <w:rFonts w:ascii="黑体" w:eastAsia="黑体"/>
          <w:sz w:val="28"/>
          <w:szCs w:val="28"/>
        </w:rPr>
      </w:pPr>
    </w:p>
    <w:p w14:paraId="03F54C6A">
      <w:pPr>
        <w:spacing w:line="360" w:lineRule="auto"/>
        <w:ind w:firstLine="1120" w:firstLineChars="400"/>
        <w:rPr>
          <w:rFonts w:ascii="黑体" w:eastAsia="黑体"/>
          <w:sz w:val="28"/>
          <w:szCs w:val="28"/>
        </w:rPr>
      </w:pPr>
    </w:p>
    <w:p w14:paraId="3A14E73D">
      <w:pPr>
        <w:spacing w:line="360" w:lineRule="auto"/>
        <w:ind w:firstLine="1120" w:firstLineChars="400"/>
        <w:rPr>
          <w:rFonts w:ascii="黑体" w:eastAsia="黑体"/>
          <w:sz w:val="28"/>
          <w:szCs w:val="28"/>
        </w:rPr>
      </w:pPr>
    </w:p>
    <w:p w14:paraId="2FEBDA3E">
      <w:pPr>
        <w:spacing w:line="360" w:lineRule="auto"/>
        <w:ind w:firstLine="1280" w:firstLineChars="400"/>
        <w:rPr>
          <w:rFonts w:ascii="黑体" w:eastAsia="黑体"/>
          <w:sz w:val="32"/>
          <w:szCs w:val="32"/>
          <w:u w:val="single"/>
        </w:rPr>
      </w:pPr>
      <w:r>
        <w:rPr>
          <w:rFonts w:hint="eastAsia" w:ascii="黑体" w:eastAsia="黑体"/>
          <w:sz w:val="32"/>
          <w:szCs w:val="32"/>
        </w:rPr>
        <w:t>签  订</w:t>
      </w:r>
      <w:r>
        <w:rPr>
          <w:rFonts w:ascii="黑体" w:eastAsia="黑体"/>
          <w:sz w:val="32"/>
          <w:szCs w:val="32"/>
        </w:rPr>
        <w:t xml:space="preserve">  </w:t>
      </w:r>
      <w:r>
        <w:rPr>
          <w:rFonts w:hint="eastAsia" w:ascii="黑体" w:eastAsia="黑体"/>
          <w:sz w:val="32"/>
          <w:szCs w:val="32"/>
        </w:rPr>
        <w:t>地</w:t>
      </w:r>
      <w:r>
        <w:rPr>
          <w:rFonts w:ascii="黑体" w:eastAsia="黑体"/>
          <w:sz w:val="32"/>
          <w:szCs w:val="32"/>
        </w:rPr>
        <w:t xml:space="preserve">  </w:t>
      </w:r>
      <w:r>
        <w:rPr>
          <w:rFonts w:hint="eastAsia" w:ascii="黑体" w:eastAsia="黑体"/>
          <w:sz w:val="32"/>
          <w:szCs w:val="32"/>
        </w:rPr>
        <w:t>点：济南市章丘区</w:t>
      </w:r>
    </w:p>
    <w:p w14:paraId="1B2BCEDA">
      <w:pPr>
        <w:spacing w:line="360" w:lineRule="auto"/>
        <w:ind w:firstLine="1280" w:firstLineChars="400"/>
        <w:rPr>
          <w:rFonts w:ascii="黑体" w:eastAsia="黑体"/>
          <w:sz w:val="32"/>
          <w:szCs w:val="32"/>
        </w:rPr>
      </w:pPr>
      <w:r>
        <w:rPr>
          <w:rFonts w:hint="eastAsia" w:ascii="黑体" w:eastAsia="黑体"/>
          <w:sz w:val="32"/>
          <w:szCs w:val="32"/>
        </w:rPr>
        <w:t>合</w:t>
      </w:r>
      <w:r>
        <w:rPr>
          <w:rFonts w:ascii="黑体" w:eastAsia="黑体"/>
          <w:sz w:val="32"/>
          <w:szCs w:val="32"/>
        </w:rPr>
        <w:t xml:space="preserve">  </w:t>
      </w:r>
      <w:r>
        <w:rPr>
          <w:rFonts w:hint="eastAsia" w:ascii="黑体" w:eastAsia="黑体"/>
          <w:sz w:val="32"/>
          <w:szCs w:val="32"/>
        </w:rPr>
        <w:t>同</w:t>
      </w:r>
      <w:r>
        <w:rPr>
          <w:rFonts w:ascii="黑体" w:eastAsia="黑体"/>
          <w:sz w:val="32"/>
          <w:szCs w:val="32"/>
        </w:rPr>
        <w:t xml:space="preserve">  </w:t>
      </w:r>
      <w:r>
        <w:rPr>
          <w:rFonts w:hint="eastAsia" w:ascii="黑体" w:eastAsia="黑体"/>
          <w:sz w:val="32"/>
          <w:szCs w:val="32"/>
        </w:rPr>
        <w:t>编</w:t>
      </w:r>
      <w:r>
        <w:rPr>
          <w:rFonts w:ascii="黑体" w:eastAsia="黑体"/>
          <w:sz w:val="32"/>
          <w:szCs w:val="32"/>
        </w:rPr>
        <w:t xml:space="preserve">  </w:t>
      </w:r>
      <w:r>
        <w:rPr>
          <w:rFonts w:hint="eastAsia" w:ascii="黑体" w:eastAsia="黑体"/>
          <w:sz w:val="32"/>
          <w:szCs w:val="32"/>
        </w:rPr>
        <w:t>号：</w:t>
      </w:r>
    </w:p>
    <w:p w14:paraId="3569D107">
      <w:pPr>
        <w:spacing w:line="360" w:lineRule="auto"/>
        <w:ind w:firstLine="1280" w:firstLineChars="400"/>
        <w:rPr>
          <w:rFonts w:ascii="黑体" w:eastAsia="黑体"/>
          <w:sz w:val="32"/>
          <w:szCs w:val="32"/>
        </w:rPr>
      </w:pPr>
      <w:r>
        <w:rPr>
          <w:rFonts w:hint="eastAsia" w:ascii="黑体" w:eastAsia="黑体"/>
          <w:sz w:val="32"/>
          <w:szCs w:val="32"/>
        </w:rPr>
        <w:t>甲  方：</w:t>
      </w:r>
      <w:r>
        <w:rPr>
          <w:rFonts w:hint="eastAsia" w:ascii="黑体" w:eastAsia="黑体"/>
          <w:sz w:val="32"/>
          <w:szCs w:val="32"/>
          <w:u w:val="single"/>
        </w:rPr>
        <w:t>济南黄河爆破工程有限责任公司</w:t>
      </w:r>
    </w:p>
    <w:p w14:paraId="4099869D">
      <w:pPr>
        <w:spacing w:line="360" w:lineRule="auto"/>
        <w:ind w:firstLine="1280" w:firstLineChars="400"/>
        <w:rPr>
          <w:rFonts w:ascii="黑体" w:hAnsi="宋体" w:eastAsia="黑体" w:cs="宋体"/>
          <w:sz w:val="32"/>
          <w:szCs w:val="32"/>
          <w:u w:val="single"/>
        </w:rPr>
      </w:pPr>
      <w:r>
        <w:rPr>
          <w:rFonts w:hint="eastAsia" w:ascii="黑体" w:eastAsia="黑体"/>
          <w:sz w:val="32"/>
          <w:szCs w:val="32"/>
        </w:rPr>
        <w:t>乙  方：</w:t>
      </w:r>
      <w:bookmarkStart w:id="653" w:name="OLE_LINK2"/>
    </w:p>
    <w:bookmarkEnd w:id="653"/>
    <w:p w14:paraId="64F56CFE">
      <w:pPr>
        <w:ind w:right="27" w:rightChars="13" w:firstLine="1280" w:firstLineChars="400"/>
        <w:rPr>
          <w:rFonts w:ascii="黑体" w:eastAsia="黑体"/>
          <w:sz w:val="32"/>
          <w:szCs w:val="32"/>
        </w:rPr>
      </w:pPr>
      <w:r>
        <w:rPr>
          <w:rFonts w:hint="eastAsia" w:ascii="黑体" w:eastAsia="黑体"/>
          <w:sz w:val="32"/>
          <w:szCs w:val="32"/>
        </w:rPr>
        <w:t>签</w:t>
      </w:r>
      <w:r>
        <w:rPr>
          <w:rFonts w:ascii="黑体" w:eastAsia="黑体"/>
          <w:sz w:val="32"/>
          <w:szCs w:val="32"/>
        </w:rPr>
        <w:t xml:space="preserve">  </w:t>
      </w:r>
      <w:r>
        <w:rPr>
          <w:rFonts w:hint="eastAsia" w:ascii="黑体" w:eastAsia="黑体"/>
          <w:sz w:val="32"/>
          <w:szCs w:val="32"/>
        </w:rPr>
        <w:t>订</w:t>
      </w:r>
      <w:r>
        <w:rPr>
          <w:rFonts w:ascii="黑体" w:eastAsia="黑体"/>
          <w:sz w:val="32"/>
          <w:szCs w:val="32"/>
        </w:rPr>
        <w:t xml:space="preserve">  </w:t>
      </w:r>
      <w:r>
        <w:rPr>
          <w:rFonts w:hint="eastAsia" w:ascii="黑体" w:eastAsia="黑体"/>
          <w:sz w:val="32"/>
          <w:szCs w:val="32"/>
        </w:rPr>
        <w:t>日</w:t>
      </w:r>
      <w:r>
        <w:rPr>
          <w:rFonts w:ascii="黑体" w:eastAsia="黑体"/>
          <w:sz w:val="32"/>
          <w:szCs w:val="32"/>
        </w:rPr>
        <w:t xml:space="preserve">  </w:t>
      </w:r>
      <w:r>
        <w:rPr>
          <w:rFonts w:hint="eastAsia" w:ascii="黑体" w:eastAsia="黑体"/>
          <w:sz w:val="32"/>
          <w:szCs w:val="32"/>
        </w:rPr>
        <w:t>期：</w:t>
      </w:r>
      <w:r>
        <w:rPr>
          <w:rFonts w:ascii="黑体" w:eastAsia="黑体"/>
          <w:sz w:val="32"/>
          <w:szCs w:val="32"/>
        </w:rPr>
        <w:t xml:space="preserve">  </w:t>
      </w:r>
      <w:r>
        <w:rPr>
          <w:rFonts w:hint="eastAsia" w:ascii="黑体" w:eastAsia="黑体"/>
          <w:sz w:val="32"/>
          <w:szCs w:val="32"/>
        </w:rPr>
        <w:t xml:space="preserve">  年  月    日</w:t>
      </w:r>
    </w:p>
    <w:p w14:paraId="2F53F63A">
      <w:pPr>
        <w:spacing w:line="360" w:lineRule="auto"/>
        <w:ind w:firstLine="1280" w:firstLineChars="400"/>
        <w:rPr>
          <w:rFonts w:ascii="黑体" w:eastAsia="黑体"/>
          <w:sz w:val="32"/>
          <w:szCs w:val="32"/>
          <w:u w:val="single"/>
        </w:rPr>
      </w:pPr>
      <w:r>
        <w:rPr>
          <w:rFonts w:hint="eastAsia" w:ascii="黑体" w:eastAsia="黑体"/>
          <w:sz w:val="32"/>
          <w:szCs w:val="32"/>
          <w:u w:val="single"/>
        </w:rPr>
        <w:t>签  订  地  点：山东省济南市章丘区</w:t>
      </w:r>
    </w:p>
    <w:p w14:paraId="12C6DB9C">
      <w:pPr>
        <w:rPr>
          <w:rStyle w:val="21"/>
          <w:rFonts w:ascii="Segoe UI" w:hAnsi="Segoe UI" w:eastAsia="Segoe UI" w:cs="Segoe UI"/>
          <w:bCs/>
          <w:color w:val="0F1115"/>
          <w:sz w:val="24"/>
          <w:shd w:val="clear" w:color="auto" w:fill="FFFFFF"/>
        </w:rPr>
      </w:pPr>
      <w:r>
        <w:rPr>
          <w:rFonts w:ascii="仿宋_GB2312" w:hAnsi="仿宋_GB2312" w:eastAsia="仿宋_GB2312" w:cs="仿宋_GB2312"/>
          <w:color w:val="0F1115"/>
          <w:sz w:val="32"/>
          <w:szCs w:val="32"/>
          <w:shd w:val="clear" w:color="auto" w:fill="FFFFFF"/>
        </w:rPr>
        <w:br w:type="page"/>
      </w:r>
    </w:p>
    <w:p w14:paraId="345E0FA2">
      <w:pPr>
        <w:pStyle w:val="16"/>
        <w:widowControl/>
        <w:shd w:val="clear" w:color="auto" w:fill="FFFFFF"/>
        <w:spacing w:line="592" w:lineRule="exact"/>
        <w:jc w:val="left"/>
        <w:rPr>
          <w:rFonts w:ascii="仿宋_GB2312" w:hAnsi="仿宋_GB2312" w:eastAsia="仿宋_GB2312" w:cs="仿宋_GB2312"/>
          <w:color w:val="0F1115"/>
          <w:sz w:val="32"/>
          <w:szCs w:val="32"/>
        </w:rPr>
      </w:pPr>
      <w:r>
        <w:rPr>
          <w:rStyle w:val="21"/>
          <w:rFonts w:hint="eastAsia" w:ascii="仿宋_GB2312" w:hAnsi="仿宋_GB2312" w:eastAsia="仿宋_GB2312" w:cs="仿宋_GB2312"/>
          <w:bCs/>
          <w:color w:val="0F1115"/>
          <w:sz w:val="32"/>
          <w:szCs w:val="32"/>
          <w:shd w:val="clear" w:color="auto" w:fill="FFFFFF"/>
        </w:rPr>
        <w:t>甲方（需方）：济南黄河爆破工程有限责任公司</w:t>
      </w:r>
    </w:p>
    <w:p w14:paraId="2180A0E0">
      <w:pPr>
        <w:pStyle w:val="16"/>
        <w:widowControl/>
        <w:shd w:val="clear" w:color="auto" w:fill="FFFFFF"/>
        <w:spacing w:line="592" w:lineRule="exact"/>
        <w:jc w:val="left"/>
        <w:rPr>
          <w:rStyle w:val="21"/>
          <w:rFonts w:ascii="仿宋_GB2312" w:hAnsi="仿宋_GB2312" w:eastAsia="仿宋_GB2312" w:cs="仿宋_GB2312"/>
          <w:bCs/>
          <w:color w:val="0F1115"/>
          <w:sz w:val="32"/>
          <w:szCs w:val="32"/>
          <w:shd w:val="clear" w:color="auto" w:fill="FFFFFF"/>
        </w:rPr>
      </w:pPr>
      <w:r>
        <w:rPr>
          <w:rStyle w:val="21"/>
          <w:rFonts w:hint="eastAsia" w:ascii="仿宋_GB2312" w:hAnsi="仿宋_GB2312" w:eastAsia="仿宋_GB2312" w:cs="仿宋_GB2312"/>
          <w:bCs/>
          <w:color w:val="0F1115"/>
          <w:sz w:val="32"/>
          <w:szCs w:val="32"/>
          <w:shd w:val="clear" w:color="auto" w:fill="FFFFFF"/>
        </w:rPr>
        <w:t>乙方（供方）：</w:t>
      </w:r>
    </w:p>
    <w:p w14:paraId="17760BA0">
      <w:pPr>
        <w:pStyle w:val="16"/>
        <w:widowControl/>
        <w:shd w:val="clear" w:color="auto" w:fill="FFFFFF"/>
        <w:spacing w:line="592" w:lineRule="exact"/>
        <w:ind w:firstLine="640" w:firstLineChars="200"/>
        <w:jc w:val="left"/>
        <w:rPr>
          <w:rFonts w:ascii="仿宋_GB2312" w:hAnsi="仿宋_GB2312" w:eastAsia="仿宋_GB2312" w:cs="仿宋_GB2312"/>
          <w:color w:val="0F1115"/>
          <w:sz w:val="32"/>
          <w:szCs w:val="32"/>
        </w:rPr>
      </w:pPr>
      <w:r>
        <w:rPr>
          <w:rFonts w:hint="eastAsia" w:ascii="仿宋_GB2312" w:hAnsi="仿宋_GB2312" w:eastAsia="仿宋_GB2312" w:cs="仿宋_GB2312"/>
          <w:color w:val="0F1115"/>
          <w:sz w:val="32"/>
          <w:szCs w:val="32"/>
          <w:shd w:val="clear" w:color="auto" w:fill="FFFFFF"/>
        </w:rPr>
        <w:t>根据《中华人民共和国民法典》及相关法律法规，甲乙双方在平等、自愿、公平、诚实信用的基础上，就甲方承建的矿山连接道路维修工程所需沥青混合料采购事宜，达成如下协议：</w:t>
      </w:r>
    </w:p>
    <w:p w14:paraId="173C5BED">
      <w:pPr>
        <w:pStyle w:val="3"/>
        <w:keepNext w:val="0"/>
        <w:keepLines w:val="0"/>
        <w:widowControl/>
        <w:shd w:val="clear" w:color="auto" w:fill="FFFFFF"/>
        <w:spacing w:before="0" w:after="0" w:line="592" w:lineRule="exact"/>
        <w:jc w:val="left"/>
        <w:rPr>
          <w:rFonts w:ascii="仿宋_GB2312" w:hAnsi="仿宋_GB2312" w:eastAsia="仿宋_GB2312" w:cs="仿宋_GB2312"/>
          <w:color w:val="0F1115"/>
        </w:rPr>
      </w:pPr>
      <w:bookmarkStart w:id="654" w:name="_Toc16237"/>
      <w:bookmarkStart w:id="655" w:name="_Toc26551"/>
      <w:r>
        <w:rPr>
          <w:rFonts w:hint="eastAsia" w:ascii="仿宋_GB2312" w:hAnsi="仿宋_GB2312" w:eastAsia="仿宋_GB2312" w:cs="仿宋_GB2312"/>
          <w:color w:val="0F1115"/>
          <w:shd w:val="clear" w:color="auto" w:fill="FFFFFF"/>
        </w:rPr>
        <w:t>一．采购货物</w:t>
      </w:r>
      <w:bookmarkEnd w:id="654"/>
      <w:bookmarkEnd w:id="655"/>
    </w:p>
    <w:p w14:paraId="5512A9C3">
      <w:pPr>
        <w:pStyle w:val="16"/>
        <w:widowControl/>
        <w:shd w:val="clear" w:color="auto" w:fill="FFFFFF"/>
        <w:spacing w:line="592" w:lineRule="exact"/>
        <w:ind w:firstLine="640" w:firstLineChars="200"/>
        <w:jc w:val="left"/>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本合同采购的货物为用于矿山连接道路维修工程的沥青混合料，具体包括但不限于SBS改性沥青AC-20中粒式沥青混凝土及SBS改性沥青SMA-13细粒式沥青混凝土。货物的具体名称、规格型号、数量、技术要求等详见下表。实际供货数量以甲方工程所需用量为准。</w:t>
      </w:r>
    </w:p>
    <w:p w14:paraId="44D7E1C3">
      <w:pPr>
        <w:pStyle w:val="27"/>
        <w:spacing w:after="0" w:line="592" w:lineRule="exact"/>
        <w:jc w:val="left"/>
        <w:rPr>
          <w:rFonts w:ascii="仿宋_GB2312" w:hAnsi="仿宋_GB2312" w:eastAsia="仿宋_GB2312" w:cs="仿宋_GB2312"/>
          <w:b/>
          <w:bCs/>
          <w:color w:val="000000"/>
          <w:sz w:val="32"/>
          <w:szCs w:val="32"/>
        </w:rPr>
      </w:pPr>
      <w:bookmarkStart w:id="656" w:name="_Toc507025405"/>
      <w:bookmarkStart w:id="657" w:name="_Toc521503305"/>
      <w:r>
        <w:rPr>
          <w:rFonts w:hint="eastAsia" w:ascii="仿宋_GB2312" w:hAnsi="仿宋_GB2312" w:eastAsia="仿宋_GB2312" w:cs="仿宋_GB2312"/>
          <w:b/>
          <w:bCs/>
          <w:color w:val="000000"/>
          <w:sz w:val="32"/>
          <w:szCs w:val="32"/>
        </w:rPr>
        <w:t>二．货物规格及价格</w:t>
      </w:r>
      <w:bookmarkEnd w:id="656"/>
      <w:bookmarkEnd w:id="657"/>
    </w:p>
    <w:tbl>
      <w:tblPr>
        <w:tblStyle w:val="18"/>
        <w:tblpPr w:leftFromText="180" w:rightFromText="180" w:vertAnchor="text" w:horzAnchor="page" w:tblpX="1492" w:tblpY="530"/>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3668"/>
        <w:gridCol w:w="656"/>
        <w:gridCol w:w="651"/>
        <w:gridCol w:w="756"/>
        <w:gridCol w:w="929"/>
        <w:gridCol w:w="1535"/>
      </w:tblGrid>
      <w:tr w14:paraId="6560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blHeader/>
        </w:trPr>
        <w:tc>
          <w:tcPr>
            <w:tcW w:w="243" w:type="pct"/>
            <w:vAlign w:val="center"/>
          </w:tcPr>
          <w:p w14:paraId="46AC4F91">
            <w:pPr>
              <w:jc w:val="left"/>
              <w:rPr>
                <w:rFonts w:ascii="黑体" w:hAnsi="黑体" w:eastAsia="黑体" w:cs="黑体"/>
                <w:sz w:val="18"/>
                <w:szCs w:val="18"/>
              </w:rPr>
            </w:pPr>
            <w:r>
              <w:rPr>
                <w:rFonts w:hint="eastAsia" w:ascii="黑体" w:hAnsi="黑体" w:eastAsia="黑体" w:cs="黑体"/>
                <w:sz w:val="18"/>
                <w:szCs w:val="18"/>
              </w:rPr>
              <w:t>序号</w:t>
            </w:r>
          </w:p>
        </w:tc>
        <w:tc>
          <w:tcPr>
            <w:tcW w:w="2138" w:type="pct"/>
            <w:vAlign w:val="center"/>
          </w:tcPr>
          <w:p w14:paraId="08232391">
            <w:pPr>
              <w:tabs>
                <w:tab w:val="left" w:pos="522"/>
              </w:tabs>
              <w:jc w:val="center"/>
              <w:rPr>
                <w:rFonts w:ascii="黑体" w:hAnsi="黑体" w:eastAsia="黑体" w:cs="黑体"/>
                <w:sz w:val="18"/>
                <w:szCs w:val="18"/>
              </w:rPr>
            </w:pPr>
            <w:r>
              <w:rPr>
                <w:rFonts w:hint="eastAsia" w:ascii="黑体" w:hAnsi="黑体" w:eastAsia="黑体" w:cs="黑体"/>
                <w:sz w:val="18"/>
                <w:szCs w:val="18"/>
              </w:rPr>
              <w:t>名称</w:t>
            </w:r>
          </w:p>
        </w:tc>
        <w:tc>
          <w:tcPr>
            <w:tcW w:w="388" w:type="pct"/>
            <w:vAlign w:val="center"/>
          </w:tcPr>
          <w:p w14:paraId="70AA46F4">
            <w:pPr>
              <w:jc w:val="left"/>
              <w:rPr>
                <w:rFonts w:ascii="黑体" w:hAnsi="黑体" w:eastAsia="黑体" w:cs="黑体"/>
                <w:sz w:val="18"/>
                <w:szCs w:val="18"/>
              </w:rPr>
            </w:pPr>
            <w:r>
              <w:rPr>
                <w:rFonts w:hint="eastAsia" w:ascii="黑体" w:hAnsi="黑体" w:eastAsia="黑体" w:cs="黑体"/>
                <w:sz w:val="18"/>
                <w:szCs w:val="18"/>
              </w:rPr>
              <w:t>单位</w:t>
            </w:r>
          </w:p>
        </w:tc>
        <w:tc>
          <w:tcPr>
            <w:tcW w:w="385" w:type="pct"/>
            <w:vAlign w:val="center"/>
          </w:tcPr>
          <w:p w14:paraId="30C5A4B4">
            <w:pPr>
              <w:tabs>
                <w:tab w:val="left" w:pos="522"/>
              </w:tabs>
              <w:jc w:val="left"/>
              <w:rPr>
                <w:rFonts w:ascii="黑体" w:hAnsi="黑体" w:eastAsia="黑体" w:cs="黑体"/>
                <w:sz w:val="18"/>
                <w:szCs w:val="18"/>
              </w:rPr>
            </w:pPr>
            <w:r>
              <w:rPr>
                <w:rFonts w:hint="eastAsia" w:ascii="黑体" w:hAnsi="黑体" w:eastAsia="黑体" w:cs="黑体"/>
                <w:sz w:val="18"/>
                <w:szCs w:val="18"/>
              </w:rPr>
              <w:t>暂定数量</w:t>
            </w:r>
          </w:p>
        </w:tc>
        <w:tc>
          <w:tcPr>
            <w:tcW w:w="398" w:type="pct"/>
            <w:vAlign w:val="center"/>
          </w:tcPr>
          <w:p w14:paraId="05651B68">
            <w:pPr>
              <w:tabs>
                <w:tab w:val="left" w:pos="522"/>
              </w:tabs>
              <w:jc w:val="left"/>
              <w:rPr>
                <w:rFonts w:ascii="黑体" w:hAnsi="黑体" w:eastAsia="黑体" w:cs="黑体"/>
                <w:sz w:val="18"/>
                <w:szCs w:val="18"/>
              </w:rPr>
            </w:pPr>
            <w:r>
              <w:rPr>
                <w:rFonts w:hint="eastAsia" w:ascii="黑体" w:hAnsi="黑体" w:eastAsia="黑体" w:cs="黑体"/>
                <w:sz w:val="18"/>
                <w:szCs w:val="18"/>
              </w:rPr>
              <w:t>含税综合单价（元）</w:t>
            </w:r>
          </w:p>
        </w:tc>
        <w:tc>
          <w:tcPr>
            <w:tcW w:w="547" w:type="pct"/>
            <w:vAlign w:val="center"/>
          </w:tcPr>
          <w:p w14:paraId="22BE7884">
            <w:pPr>
              <w:tabs>
                <w:tab w:val="left" w:pos="522"/>
              </w:tabs>
              <w:jc w:val="center"/>
              <w:rPr>
                <w:rFonts w:ascii="黑体" w:hAnsi="黑体" w:eastAsia="黑体" w:cs="黑体"/>
                <w:sz w:val="18"/>
                <w:szCs w:val="18"/>
              </w:rPr>
            </w:pPr>
            <w:r>
              <w:rPr>
                <w:rFonts w:hint="eastAsia" w:ascii="黑体" w:hAnsi="黑体" w:eastAsia="黑体" w:cs="黑体"/>
                <w:sz w:val="18"/>
                <w:szCs w:val="18"/>
              </w:rPr>
              <w:t>总价</w:t>
            </w:r>
          </w:p>
        </w:tc>
        <w:tc>
          <w:tcPr>
            <w:tcW w:w="898" w:type="pct"/>
            <w:vAlign w:val="center"/>
          </w:tcPr>
          <w:p w14:paraId="13D16D96">
            <w:pPr>
              <w:jc w:val="left"/>
              <w:rPr>
                <w:rFonts w:ascii="黑体" w:hAnsi="黑体" w:eastAsia="黑体" w:cs="黑体"/>
                <w:sz w:val="18"/>
                <w:szCs w:val="18"/>
              </w:rPr>
            </w:pPr>
            <w:r>
              <w:rPr>
                <w:rFonts w:hint="eastAsia" w:ascii="黑体" w:hAnsi="黑体" w:eastAsia="黑体" w:cs="黑体"/>
                <w:sz w:val="18"/>
                <w:szCs w:val="18"/>
              </w:rPr>
              <w:t>备注</w:t>
            </w:r>
          </w:p>
        </w:tc>
      </w:tr>
      <w:tr w14:paraId="1AAC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16593BEF">
            <w:pPr>
              <w:jc w:val="left"/>
              <w:rPr>
                <w:rFonts w:ascii="黑体" w:hAnsi="黑体" w:eastAsia="黑体" w:cs="黑体"/>
                <w:sz w:val="18"/>
                <w:szCs w:val="18"/>
              </w:rPr>
            </w:pPr>
            <w:r>
              <w:rPr>
                <w:rFonts w:hint="eastAsia" w:ascii="黑体" w:hAnsi="黑体" w:eastAsia="黑体" w:cs="黑体"/>
                <w:sz w:val="18"/>
                <w:szCs w:val="18"/>
              </w:rPr>
              <w:t>1</w:t>
            </w:r>
          </w:p>
        </w:tc>
        <w:tc>
          <w:tcPr>
            <w:tcW w:w="2138" w:type="pct"/>
            <w:vAlign w:val="center"/>
          </w:tcPr>
          <w:p w14:paraId="7335AF1F">
            <w:pPr>
              <w:jc w:val="left"/>
              <w:rPr>
                <w:rFonts w:ascii="黑体" w:hAnsi="黑体" w:eastAsia="黑体" w:cs="黑体"/>
                <w:sz w:val="18"/>
                <w:szCs w:val="18"/>
              </w:rPr>
            </w:pPr>
            <w:r>
              <w:rPr>
                <w:rFonts w:hint="eastAsia" w:ascii="黑体" w:hAnsi="黑体" w:eastAsia="黑体" w:cs="黑体"/>
                <w:sz w:val="18"/>
                <w:szCs w:val="18"/>
              </w:rPr>
              <w:t>透层乳化沥青、封层乳化沥青</w:t>
            </w:r>
          </w:p>
          <w:p w14:paraId="28D52E66">
            <w:pPr>
              <w:jc w:val="left"/>
              <w:rPr>
                <w:rFonts w:ascii="黑体" w:hAnsi="黑体" w:eastAsia="黑体" w:cs="黑体"/>
                <w:sz w:val="18"/>
                <w:szCs w:val="18"/>
              </w:rPr>
            </w:pPr>
            <w:r>
              <w:rPr>
                <w:rFonts w:hint="eastAsia" w:ascii="黑体" w:hAnsi="黑体" w:eastAsia="黑体" w:cs="黑体"/>
                <w:sz w:val="18"/>
                <w:szCs w:val="18"/>
              </w:rPr>
              <w:t>1.型号：高渗透型乳化沥青</w:t>
            </w:r>
          </w:p>
          <w:p w14:paraId="134EFC62">
            <w:pPr>
              <w:jc w:val="left"/>
              <w:rPr>
                <w:rFonts w:ascii="黑体" w:hAnsi="黑体" w:eastAsia="黑体" w:cs="黑体"/>
                <w:sz w:val="18"/>
                <w:szCs w:val="18"/>
              </w:rPr>
            </w:pPr>
            <w:r>
              <w:rPr>
                <w:rFonts w:hint="eastAsia" w:ascii="黑体" w:hAnsi="黑体" w:eastAsia="黑体" w:cs="黑体"/>
                <w:sz w:val="18"/>
                <w:szCs w:val="18"/>
              </w:rPr>
              <w:t>2.用量：高粘/高渗透型：0.8-1L/m²</w:t>
            </w:r>
          </w:p>
        </w:tc>
        <w:tc>
          <w:tcPr>
            <w:tcW w:w="388" w:type="pct"/>
            <w:vAlign w:val="center"/>
          </w:tcPr>
          <w:p w14:paraId="7AC3252D">
            <w:pPr>
              <w:jc w:val="left"/>
              <w:rPr>
                <w:rFonts w:ascii="黑体" w:hAnsi="黑体" w:eastAsia="黑体" w:cs="黑体"/>
                <w:sz w:val="18"/>
                <w:szCs w:val="18"/>
              </w:rPr>
            </w:pPr>
            <w:r>
              <w:rPr>
                <w:rFonts w:hint="eastAsia" w:ascii="黑体" w:hAnsi="黑体" w:eastAsia="黑体" w:cs="黑体"/>
                <w:sz w:val="18"/>
                <w:szCs w:val="18"/>
              </w:rPr>
              <w:t>㎡</w:t>
            </w:r>
          </w:p>
        </w:tc>
        <w:tc>
          <w:tcPr>
            <w:tcW w:w="385" w:type="pct"/>
            <w:vAlign w:val="center"/>
          </w:tcPr>
          <w:p w14:paraId="3A558A09">
            <w:pPr>
              <w:jc w:val="left"/>
              <w:rPr>
                <w:rFonts w:ascii="黑体" w:hAnsi="黑体" w:eastAsia="黑体" w:cs="黑体"/>
                <w:sz w:val="18"/>
                <w:szCs w:val="18"/>
              </w:rPr>
            </w:pPr>
            <w:r>
              <w:rPr>
                <w:rFonts w:hint="eastAsia" w:ascii="黑体" w:hAnsi="黑体" w:eastAsia="黑体" w:cs="黑体"/>
                <w:sz w:val="18"/>
                <w:szCs w:val="18"/>
              </w:rPr>
              <w:t>6200</w:t>
            </w:r>
          </w:p>
        </w:tc>
        <w:tc>
          <w:tcPr>
            <w:tcW w:w="398" w:type="pct"/>
            <w:vAlign w:val="center"/>
          </w:tcPr>
          <w:p w14:paraId="5173D75E">
            <w:pPr>
              <w:jc w:val="left"/>
              <w:rPr>
                <w:rFonts w:ascii="黑体" w:hAnsi="黑体" w:eastAsia="黑体" w:cs="黑体"/>
                <w:sz w:val="18"/>
                <w:szCs w:val="18"/>
              </w:rPr>
            </w:pPr>
          </w:p>
        </w:tc>
        <w:tc>
          <w:tcPr>
            <w:tcW w:w="547" w:type="pct"/>
            <w:vAlign w:val="center"/>
          </w:tcPr>
          <w:p w14:paraId="11E4294A">
            <w:pPr>
              <w:jc w:val="left"/>
              <w:rPr>
                <w:rFonts w:ascii="黑体" w:hAnsi="黑体" w:eastAsia="黑体" w:cs="黑体"/>
                <w:sz w:val="18"/>
                <w:szCs w:val="18"/>
              </w:rPr>
            </w:pPr>
          </w:p>
        </w:tc>
        <w:tc>
          <w:tcPr>
            <w:tcW w:w="898" w:type="pct"/>
            <w:vAlign w:val="center"/>
          </w:tcPr>
          <w:p w14:paraId="2E4E0FAF">
            <w:pPr>
              <w:jc w:val="left"/>
              <w:rPr>
                <w:rFonts w:ascii="黑体" w:hAnsi="黑体" w:eastAsia="黑体" w:cs="黑体"/>
                <w:sz w:val="18"/>
                <w:szCs w:val="18"/>
              </w:rPr>
            </w:pPr>
            <w:r>
              <w:rPr>
                <w:rFonts w:hint="eastAsia" w:ascii="黑体" w:hAnsi="黑体" w:eastAsia="黑体" w:cs="黑体"/>
                <w:sz w:val="18"/>
                <w:szCs w:val="18"/>
              </w:rPr>
              <w:t>运输、措施费综合考虑</w:t>
            </w:r>
          </w:p>
        </w:tc>
      </w:tr>
      <w:tr w14:paraId="55EE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7AE6AA72">
            <w:pPr>
              <w:jc w:val="left"/>
              <w:rPr>
                <w:rFonts w:ascii="黑体" w:hAnsi="黑体" w:eastAsia="黑体" w:cs="黑体"/>
                <w:sz w:val="18"/>
                <w:szCs w:val="18"/>
              </w:rPr>
            </w:pPr>
            <w:r>
              <w:rPr>
                <w:rFonts w:hint="eastAsia" w:ascii="黑体" w:hAnsi="黑体" w:eastAsia="黑体" w:cs="黑体"/>
                <w:sz w:val="18"/>
                <w:szCs w:val="18"/>
              </w:rPr>
              <w:t>2</w:t>
            </w:r>
          </w:p>
        </w:tc>
        <w:tc>
          <w:tcPr>
            <w:tcW w:w="2138" w:type="pct"/>
            <w:vAlign w:val="center"/>
          </w:tcPr>
          <w:p w14:paraId="13334924">
            <w:pPr>
              <w:jc w:val="left"/>
              <w:rPr>
                <w:rFonts w:ascii="黑体" w:hAnsi="黑体" w:eastAsia="黑体" w:cs="黑体"/>
                <w:sz w:val="18"/>
                <w:szCs w:val="18"/>
              </w:rPr>
            </w:pPr>
            <w:r>
              <w:rPr>
                <w:rFonts w:hint="eastAsia" w:ascii="黑体" w:hAnsi="黑体" w:eastAsia="黑体" w:cs="黑体"/>
                <w:sz w:val="18"/>
                <w:szCs w:val="18"/>
              </w:rPr>
              <w:t>6cmSBS AC-20粗粒式沥青砼</w:t>
            </w:r>
          </w:p>
          <w:p w14:paraId="2BEE80B3">
            <w:pPr>
              <w:jc w:val="left"/>
              <w:rPr>
                <w:rFonts w:ascii="黑体" w:hAnsi="黑体" w:eastAsia="黑体" w:cs="黑体"/>
                <w:sz w:val="18"/>
                <w:szCs w:val="18"/>
              </w:rPr>
            </w:pPr>
            <w:r>
              <w:rPr>
                <w:rFonts w:hint="eastAsia" w:ascii="黑体" w:hAnsi="黑体" w:eastAsia="黑体" w:cs="黑体"/>
                <w:sz w:val="18"/>
                <w:szCs w:val="18"/>
              </w:rPr>
              <w:t>1.材质：sbs改性沥青；AC-20中粒式沥青混凝土；</w:t>
            </w:r>
          </w:p>
          <w:p w14:paraId="777E9453">
            <w:pPr>
              <w:jc w:val="left"/>
              <w:rPr>
                <w:rFonts w:ascii="黑体" w:hAnsi="黑体" w:eastAsia="黑体" w:cs="黑体"/>
                <w:sz w:val="18"/>
                <w:szCs w:val="18"/>
              </w:rPr>
            </w:pPr>
            <w:r>
              <w:rPr>
                <w:rFonts w:hint="eastAsia" w:ascii="黑体" w:hAnsi="黑体" w:eastAsia="黑体" w:cs="黑体"/>
                <w:sz w:val="18"/>
                <w:szCs w:val="18"/>
              </w:rPr>
              <w:t>2.级配：AC-20型中粒式密级配沥青混凝土。其技术要求应严格控制在《公路沥青路面施工技术规范》（JTG F40）规定的AC-20范围内。</w:t>
            </w:r>
          </w:p>
        </w:tc>
        <w:tc>
          <w:tcPr>
            <w:tcW w:w="388" w:type="pct"/>
            <w:vAlign w:val="center"/>
          </w:tcPr>
          <w:p w14:paraId="4AACC590">
            <w:pPr>
              <w:jc w:val="left"/>
              <w:rPr>
                <w:rFonts w:ascii="黑体" w:hAnsi="黑体" w:eastAsia="黑体" w:cs="黑体"/>
                <w:sz w:val="18"/>
                <w:szCs w:val="18"/>
              </w:rPr>
            </w:pPr>
            <w:r>
              <w:rPr>
                <w:rFonts w:hint="eastAsia" w:ascii="黑体" w:hAnsi="黑体" w:eastAsia="黑体" w:cs="黑体"/>
                <w:sz w:val="18"/>
                <w:szCs w:val="18"/>
              </w:rPr>
              <w:t>㎡</w:t>
            </w:r>
          </w:p>
        </w:tc>
        <w:tc>
          <w:tcPr>
            <w:tcW w:w="385" w:type="pct"/>
            <w:vAlign w:val="center"/>
          </w:tcPr>
          <w:p w14:paraId="5D25693A">
            <w:pPr>
              <w:jc w:val="left"/>
              <w:rPr>
                <w:rFonts w:ascii="黑体" w:hAnsi="黑体" w:eastAsia="黑体" w:cs="黑体"/>
                <w:sz w:val="18"/>
                <w:szCs w:val="18"/>
              </w:rPr>
            </w:pPr>
            <w:r>
              <w:rPr>
                <w:rFonts w:hint="eastAsia" w:ascii="黑体" w:hAnsi="黑体" w:eastAsia="黑体" w:cs="黑体"/>
                <w:sz w:val="18"/>
                <w:szCs w:val="18"/>
              </w:rPr>
              <w:t>6200</w:t>
            </w:r>
          </w:p>
        </w:tc>
        <w:tc>
          <w:tcPr>
            <w:tcW w:w="398" w:type="pct"/>
            <w:vAlign w:val="center"/>
          </w:tcPr>
          <w:p w14:paraId="22E9BC3C">
            <w:pPr>
              <w:jc w:val="left"/>
              <w:rPr>
                <w:rFonts w:ascii="黑体" w:hAnsi="黑体" w:eastAsia="黑体" w:cs="黑体"/>
                <w:sz w:val="18"/>
                <w:szCs w:val="18"/>
              </w:rPr>
            </w:pPr>
          </w:p>
        </w:tc>
        <w:tc>
          <w:tcPr>
            <w:tcW w:w="547" w:type="pct"/>
            <w:vAlign w:val="center"/>
          </w:tcPr>
          <w:p w14:paraId="63DBA96F">
            <w:pPr>
              <w:jc w:val="left"/>
              <w:rPr>
                <w:rFonts w:ascii="黑体" w:hAnsi="黑体" w:eastAsia="黑体" w:cs="黑体"/>
                <w:sz w:val="18"/>
                <w:szCs w:val="18"/>
              </w:rPr>
            </w:pPr>
          </w:p>
        </w:tc>
        <w:tc>
          <w:tcPr>
            <w:tcW w:w="898" w:type="pct"/>
            <w:vAlign w:val="center"/>
          </w:tcPr>
          <w:p w14:paraId="7E1BFC07">
            <w:pPr>
              <w:jc w:val="left"/>
              <w:rPr>
                <w:rFonts w:ascii="黑体" w:hAnsi="黑体" w:eastAsia="黑体" w:cs="黑体"/>
                <w:sz w:val="18"/>
                <w:szCs w:val="18"/>
              </w:rPr>
            </w:pPr>
            <w:r>
              <w:rPr>
                <w:rFonts w:hint="eastAsia" w:ascii="黑体" w:hAnsi="黑体" w:eastAsia="黑体" w:cs="黑体"/>
                <w:sz w:val="18"/>
                <w:szCs w:val="18"/>
              </w:rPr>
              <w:t>运输、措施费综合考虑</w:t>
            </w:r>
          </w:p>
        </w:tc>
      </w:tr>
      <w:tr w14:paraId="39C7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23FA8CB0">
            <w:pPr>
              <w:jc w:val="left"/>
              <w:rPr>
                <w:rFonts w:ascii="黑体" w:hAnsi="黑体" w:eastAsia="黑体" w:cs="黑体"/>
                <w:sz w:val="18"/>
                <w:szCs w:val="18"/>
              </w:rPr>
            </w:pPr>
            <w:r>
              <w:rPr>
                <w:rFonts w:hint="eastAsia" w:ascii="黑体" w:hAnsi="黑体" w:eastAsia="黑体" w:cs="黑体"/>
                <w:sz w:val="18"/>
                <w:szCs w:val="18"/>
              </w:rPr>
              <w:t>3</w:t>
            </w:r>
          </w:p>
        </w:tc>
        <w:tc>
          <w:tcPr>
            <w:tcW w:w="2138" w:type="pct"/>
            <w:vAlign w:val="center"/>
          </w:tcPr>
          <w:p w14:paraId="636C591B">
            <w:pPr>
              <w:jc w:val="left"/>
              <w:rPr>
                <w:rFonts w:ascii="黑体" w:hAnsi="黑体" w:eastAsia="黑体" w:cs="黑体"/>
                <w:sz w:val="18"/>
                <w:szCs w:val="18"/>
              </w:rPr>
            </w:pPr>
            <w:r>
              <w:rPr>
                <w:rFonts w:hint="eastAsia" w:ascii="黑体" w:hAnsi="黑体" w:eastAsia="黑体" w:cs="黑体"/>
                <w:sz w:val="18"/>
                <w:szCs w:val="18"/>
              </w:rPr>
              <w:t>喷洒粘层乳化沥青</w:t>
            </w:r>
          </w:p>
          <w:p w14:paraId="33EAF4CF">
            <w:pPr>
              <w:jc w:val="left"/>
              <w:rPr>
                <w:rFonts w:ascii="黑体" w:hAnsi="黑体" w:eastAsia="黑体" w:cs="黑体"/>
                <w:sz w:val="18"/>
                <w:szCs w:val="18"/>
              </w:rPr>
            </w:pPr>
            <w:r>
              <w:rPr>
                <w:rFonts w:hint="eastAsia" w:ascii="黑体" w:hAnsi="黑体" w:eastAsia="黑体" w:cs="黑体"/>
                <w:sz w:val="18"/>
                <w:szCs w:val="18"/>
              </w:rPr>
              <w:t>1. SBS改性乳化沥青</w:t>
            </w:r>
          </w:p>
          <w:p w14:paraId="675965E7">
            <w:pPr>
              <w:jc w:val="left"/>
              <w:rPr>
                <w:rFonts w:ascii="黑体" w:hAnsi="黑体" w:eastAsia="黑体" w:cs="黑体"/>
                <w:sz w:val="18"/>
                <w:szCs w:val="18"/>
              </w:rPr>
            </w:pPr>
            <w:r>
              <w:rPr>
                <w:rFonts w:hint="eastAsia" w:ascii="黑体" w:hAnsi="黑体" w:eastAsia="黑体" w:cs="黑体"/>
                <w:sz w:val="18"/>
                <w:szCs w:val="18"/>
              </w:rPr>
              <w:t>2. 用量：0.3-0.5 L/m²</w:t>
            </w:r>
          </w:p>
        </w:tc>
        <w:tc>
          <w:tcPr>
            <w:tcW w:w="388" w:type="pct"/>
            <w:vAlign w:val="center"/>
          </w:tcPr>
          <w:p w14:paraId="12F1AFDE">
            <w:pPr>
              <w:jc w:val="left"/>
              <w:rPr>
                <w:rFonts w:ascii="黑体" w:hAnsi="黑体" w:eastAsia="黑体" w:cs="黑体"/>
                <w:sz w:val="18"/>
                <w:szCs w:val="18"/>
              </w:rPr>
            </w:pPr>
            <w:r>
              <w:rPr>
                <w:rFonts w:hint="eastAsia" w:ascii="黑体" w:hAnsi="黑体" w:eastAsia="黑体" w:cs="黑体"/>
                <w:sz w:val="18"/>
                <w:szCs w:val="18"/>
              </w:rPr>
              <w:t>㎡</w:t>
            </w:r>
          </w:p>
        </w:tc>
        <w:tc>
          <w:tcPr>
            <w:tcW w:w="385" w:type="pct"/>
            <w:vAlign w:val="center"/>
          </w:tcPr>
          <w:p w14:paraId="614C2683">
            <w:pPr>
              <w:jc w:val="left"/>
              <w:rPr>
                <w:rFonts w:ascii="黑体" w:hAnsi="黑体" w:eastAsia="黑体" w:cs="黑体"/>
                <w:sz w:val="18"/>
                <w:szCs w:val="18"/>
              </w:rPr>
            </w:pPr>
            <w:r>
              <w:rPr>
                <w:rFonts w:hint="eastAsia" w:ascii="黑体" w:hAnsi="黑体" w:eastAsia="黑体" w:cs="黑体"/>
                <w:sz w:val="18"/>
                <w:szCs w:val="18"/>
              </w:rPr>
              <w:t>6200</w:t>
            </w:r>
          </w:p>
        </w:tc>
        <w:tc>
          <w:tcPr>
            <w:tcW w:w="398" w:type="pct"/>
            <w:vAlign w:val="center"/>
          </w:tcPr>
          <w:p w14:paraId="5E6E7B80">
            <w:pPr>
              <w:jc w:val="left"/>
              <w:rPr>
                <w:rFonts w:ascii="黑体" w:hAnsi="黑体" w:eastAsia="黑体" w:cs="黑体"/>
                <w:sz w:val="18"/>
                <w:szCs w:val="18"/>
              </w:rPr>
            </w:pPr>
          </w:p>
        </w:tc>
        <w:tc>
          <w:tcPr>
            <w:tcW w:w="547" w:type="pct"/>
            <w:vAlign w:val="center"/>
          </w:tcPr>
          <w:p w14:paraId="7A7C28DC">
            <w:pPr>
              <w:jc w:val="left"/>
              <w:rPr>
                <w:rFonts w:ascii="黑体" w:hAnsi="黑体" w:eastAsia="黑体" w:cs="黑体"/>
                <w:sz w:val="18"/>
                <w:szCs w:val="18"/>
              </w:rPr>
            </w:pPr>
          </w:p>
        </w:tc>
        <w:tc>
          <w:tcPr>
            <w:tcW w:w="898" w:type="pct"/>
            <w:vAlign w:val="center"/>
          </w:tcPr>
          <w:p w14:paraId="419BC1B9">
            <w:pPr>
              <w:jc w:val="left"/>
              <w:rPr>
                <w:rFonts w:ascii="黑体" w:hAnsi="黑体" w:eastAsia="黑体" w:cs="黑体"/>
                <w:sz w:val="18"/>
                <w:szCs w:val="18"/>
              </w:rPr>
            </w:pPr>
            <w:r>
              <w:rPr>
                <w:rFonts w:hint="eastAsia" w:ascii="黑体" w:hAnsi="黑体" w:eastAsia="黑体" w:cs="黑体"/>
                <w:sz w:val="18"/>
                <w:szCs w:val="18"/>
              </w:rPr>
              <w:t>运输、措施费综合考虑</w:t>
            </w:r>
          </w:p>
        </w:tc>
      </w:tr>
      <w:tr w14:paraId="342A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5FAD4F4E">
            <w:pPr>
              <w:jc w:val="left"/>
              <w:rPr>
                <w:rFonts w:ascii="黑体" w:hAnsi="黑体" w:eastAsia="黑体" w:cs="黑体"/>
                <w:sz w:val="18"/>
                <w:szCs w:val="18"/>
              </w:rPr>
            </w:pPr>
            <w:r>
              <w:rPr>
                <w:rFonts w:hint="eastAsia" w:ascii="黑体" w:hAnsi="黑体" w:eastAsia="黑体" w:cs="黑体"/>
                <w:sz w:val="18"/>
                <w:szCs w:val="18"/>
              </w:rPr>
              <w:t>4</w:t>
            </w:r>
          </w:p>
        </w:tc>
        <w:tc>
          <w:tcPr>
            <w:tcW w:w="2138" w:type="pct"/>
            <w:vAlign w:val="center"/>
          </w:tcPr>
          <w:p w14:paraId="1D956FB8">
            <w:pPr>
              <w:jc w:val="left"/>
              <w:rPr>
                <w:rFonts w:ascii="黑体" w:hAnsi="黑体" w:eastAsia="黑体" w:cs="黑体"/>
                <w:sz w:val="18"/>
                <w:szCs w:val="18"/>
              </w:rPr>
            </w:pPr>
            <w:r>
              <w:rPr>
                <w:rFonts w:hint="eastAsia" w:ascii="黑体" w:hAnsi="黑体" w:eastAsia="黑体" w:cs="黑体"/>
                <w:sz w:val="18"/>
                <w:szCs w:val="18"/>
              </w:rPr>
              <w:t>摊铺6cmSMA 13细粒式沥青砼（玄武岩石料）。</w:t>
            </w:r>
          </w:p>
          <w:p w14:paraId="0B262294">
            <w:pPr>
              <w:jc w:val="left"/>
              <w:rPr>
                <w:rFonts w:ascii="黑体" w:hAnsi="黑体" w:eastAsia="黑体" w:cs="黑体"/>
                <w:sz w:val="18"/>
                <w:szCs w:val="18"/>
              </w:rPr>
            </w:pPr>
            <w:r>
              <w:rPr>
                <w:rFonts w:hint="eastAsia" w:ascii="黑体" w:hAnsi="黑体" w:eastAsia="黑体" w:cs="黑体"/>
                <w:sz w:val="18"/>
                <w:szCs w:val="18"/>
              </w:rPr>
              <w:t>1.材质：沥青玛蹄脂碎石混合料；13细粒式沥青混凝土；粗集料：采用玄武岩碎石，石料应坚硬、洁净、干燥、表面粗糙，其压碎值、磨光值、粘附性等指标须符合规范要求。</w:t>
            </w:r>
          </w:p>
          <w:p w14:paraId="12232C76">
            <w:pPr>
              <w:jc w:val="left"/>
              <w:rPr>
                <w:rFonts w:ascii="黑体" w:hAnsi="黑体" w:eastAsia="黑体" w:cs="黑体"/>
                <w:sz w:val="18"/>
                <w:szCs w:val="18"/>
              </w:rPr>
            </w:pPr>
            <w:r>
              <w:rPr>
                <w:rFonts w:hint="eastAsia" w:ascii="黑体" w:hAnsi="黑体" w:eastAsia="黑体" w:cs="黑体"/>
                <w:sz w:val="18"/>
                <w:szCs w:val="18"/>
              </w:rPr>
              <w:t>细集料：采用坚硬、洁净、干燥的玄武岩机制砂或石屑，由玄武岩碎石轧制而成，具有良好的棱角性。</w:t>
            </w:r>
          </w:p>
          <w:p w14:paraId="062F3609">
            <w:pPr>
              <w:jc w:val="left"/>
              <w:rPr>
                <w:rFonts w:ascii="黑体" w:hAnsi="黑体" w:eastAsia="黑体" w:cs="黑体"/>
                <w:sz w:val="18"/>
                <w:szCs w:val="18"/>
              </w:rPr>
            </w:pPr>
            <w:r>
              <w:rPr>
                <w:rFonts w:hint="eastAsia" w:ascii="黑体" w:hAnsi="黑体" w:eastAsia="黑体" w:cs="黑体"/>
                <w:sz w:val="18"/>
                <w:szCs w:val="18"/>
              </w:rPr>
              <w:t>2.级配：6cmSMA 13细粒式沥青砼。其技术要求应严格控制在《公路沥青路面施工技术规范》（JTG F40）规定的范围内。</w:t>
            </w:r>
          </w:p>
        </w:tc>
        <w:tc>
          <w:tcPr>
            <w:tcW w:w="388" w:type="pct"/>
            <w:vAlign w:val="center"/>
          </w:tcPr>
          <w:p w14:paraId="44A10AE4">
            <w:pPr>
              <w:jc w:val="left"/>
              <w:rPr>
                <w:rFonts w:ascii="黑体" w:hAnsi="黑体" w:eastAsia="黑体" w:cs="黑体"/>
                <w:sz w:val="18"/>
                <w:szCs w:val="18"/>
              </w:rPr>
            </w:pPr>
            <w:r>
              <w:rPr>
                <w:rFonts w:hint="eastAsia" w:ascii="黑体" w:hAnsi="黑体" w:eastAsia="黑体" w:cs="黑体"/>
                <w:sz w:val="18"/>
                <w:szCs w:val="18"/>
              </w:rPr>
              <w:t>㎡</w:t>
            </w:r>
          </w:p>
        </w:tc>
        <w:tc>
          <w:tcPr>
            <w:tcW w:w="385" w:type="pct"/>
            <w:vAlign w:val="center"/>
          </w:tcPr>
          <w:p w14:paraId="70B13947">
            <w:pPr>
              <w:jc w:val="left"/>
              <w:rPr>
                <w:rFonts w:ascii="黑体" w:hAnsi="黑体" w:eastAsia="黑体" w:cs="黑体"/>
                <w:sz w:val="18"/>
                <w:szCs w:val="18"/>
              </w:rPr>
            </w:pPr>
            <w:r>
              <w:rPr>
                <w:rFonts w:hint="eastAsia" w:ascii="黑体" w:hAnsi="黑体" w:eastAsia="黑体" w:cs="黑体"/>
                <w:sz w:val="18"/>
                <w:szCs w:val="18"/>
              </w:rPr>
              <w:t>6200</w:t>
            </w:r>
          </w:p>
        </w:tc>
        <w:tc>
          <w:tcPr>
            <w:tcW w:w="398" w:type="pct"/>
            <w:vAlign w:val="center"/>
          </w:tcPr>
          <w:p w14:paraId="2DBC4114">
            <w:pPr>
              <w:jc w:val="left"/>
              <w:rPr>
                <w:rFonts w:ascii="黑体" w:hAnsi="黑体" w:eastAsia="黑体" w:cs="黑体"/>
                <w:sz w:val="18"/>
                <w:szCs w:val="18"/>
              </w:rPr>
            </w:pPr>
          </w:p>
        </w:tc>
        <w:tc>
          <w:tcPr>
            <w:tcW w:w="547" w:type="pct"/>
            <w:vAlign w:val="center"/>
          </w:tcPr>
          <w:p w14:paraId="26A9FF6A">
            <w:pPr>
              <w:jc w:val="left"/>
              <w:rPr>
                <w:rFonts w:ascii="黑体" w:hAnsi="黑体" w:eastAsia="黑体" w:cs="黑体"/>
                <w:sz w:val="18"/>
                <w:szCs w:val="18"/>
              </w:rPr>
            </w:pPr>
          </w:p>
        </w:tc>
        <w:tc>
          <w:tcPr>
            <w:tcW w:w="898" w:type="pct"/>
            <w:vAlign w:val="center"/>
          </w:tcPr>
          <w:p w14:paraId="25C3DCC9">
            <w:pPr>
              <w:jc w:val="left"/>
              <w:rPr>
                <w:rFonts w:ascii="黑体" w:hAnsi="黑体" w:eastAsia="黑体" w:cs="黑体"/>
                <w:sz w:val="18"/>
                <w:szCs w:val="18"/>
              </w:rPr>
            </w:pPr>
            <w:r>
              <w:rPr>
                <w:rFonts w:hint="eastAsia" w:ascii="黑体" w:hAnsi="黑体" w:eastAsia="黑体" w:cs="黑体"/>
                <w:sz w:val="18"/>
                <w:szCs w:val="18"/>
              </w:rPr>
              <w:t>运输、措施费综合考虑</w:t>
            </w:r>
          </w:p>
        </w:tc>
      </w:tr>
      <w:tr w14:paraId="47584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243" w:type="pct"/>
            <w:vAlign w:val="center"/>
          </w:tcPr>
          <w:p w14:paraId="020D3BC0">
            <w:pPr>
              <w:jc w:val="left"/>
              <w:rPr>
                <w:rFonts w:ascii="黑体" w:hAnsi="黑体" w:eastAsia="黑体" w:cs="黑体"/>
                <w:sz w:val="18"/>
                <w:szCs w:val="18"/>
              </w:rPr>
            </w:pPr>
            <w:r>
              <w:rPr>
                <w:rFonts w:hint="eastAsia" w:ascii="黑体" w:hAnsi="黑体" w:eastAsia="黑体" w:cs="黑体"/>
                <w:sz w:val="18"/>
                <w:szCs w:val="18"/>
              </w:rPr>
              <w:t>5</w:t>
            </w:r>
          </w:p>
        </w:tc>
        <w:tc>
          <w:tcPr>
            <w:tcW w:w="2138" w:type="pct"/>
            <w:vAlign w:val="center"/>
          </w:tcPr>
          <w:p w14:paraId="2A323A94">
            <w:pPr>
              <w:jc w:val="left"/>
              <w:rPr>
                <w:rFonts w:ascii="黑体" w:hAnsi="黑体" w:eastAsia="黑体" w:cs="黑体"/>
                <w:sz w:val="18"/>
                <w:szCs w:val="18"/>
              </w:rPr>
            </w:pPr>
            <w:r>
              <w:rPr>
                <w:rFonts w:hint="eastAsia" w:ascii="黑体" w:hAnsi="黑体" w:eastAsia="黑体" w:cs="黑体"/>
                <w:sz w:val="18"/>
                <w:szCs w:val="18"/>
              </w:rPr>
              <w:t>合计</w:t>
            </w:r>
          </w:p>
        </w:tc>
        <w:tc>
          <w:tcPr>
            <w:tcW w:w="388" w:type="pct"/>
            <w:vAlign w:val="center"/>
          </w:tcPr>
          <w:p w14:paraId="0D44998C">
            <w:pPr>
              <w:jc w:val="left"/>
              <w:rPr>
                <w:rFonts w:ascii="黑体" w:hAnsi="黑体" w:eastAsia="黑体" w:cs="黑体"/>
                <w:sz w:val="18"/>
                <w:szCs w:val="18"/>
              </w:rPr>
            </w:pPr>
          </w:p>
        </w:tc>
        <w:tc>
          <w:tcPr>
            <w:tcW w:w="385" w:type="pct"/>
            <w:vAlign w:val="center"/>
          </w:tcPr>
          <w:p w14:paraId="5D67EEE1">
            <w:pPr>
              <w:jc w:val="left"/>
              <w:rPr>
                <w:rFonts w:ascii="黑体" w:hAnsi="黑体" w:eastAsia="黑体" w:cs="黑体"/>
                <w:sz w:val="18"/>
                <w:szCs w:val="18"/>
              </w:rPr>
            </w:pPr>
          </w:p>
        </w:tc>
        <w:tc>
          <w:tcPr>
            <w:tcW w:w="398" w:type="pct"/>
            <w:vAlign w:val="center"/>
          </w:tcPr>
          <w:p w14:paraId="489A2A70">
            <w:pPr>
              <w:jc w:val="left"/>
              <w:rPr>
                <w:rFonts w:ascii="黑体" w:hAnsi="黑体" w:eastAsia="黑体" w:cs="黑体"/>
                <w:sz w:val="18"/>
                <w:szCs w:val="18"/>
              </w:rPr>
            </w:pPr>
          </w:p>
        </w:tc>
        <w:tc>
          <w:tcPr>
            <w:tcW w:w="547" w:type="pct"/>
            <w:vAlign w:val="center"/>
          </w:tcPr>
          <w:p w14:paraId="516771D4">
            <w:pPr>
              <w:jc w:val="left"/>
              <w:rPr>
                <w:rFonts w:ascii="黑体" w:hAnsi="黑体" w:eastAsia="黑体" w:cs="黑体"/>
                <w:sz w:val="18"/>
                <w:szCs w:val="18"/>
              </w:rPr>
            </w:pPr>
          </w:p>
        </w:tc>
        <w:tc>
          <w:tcPr>
            <w:tcW w:w="898" w:type="pct"/>
            <w:vAlign w:val="center"/>
          </w:tcPr>
          <w:p w14:paraId="6DC3F7C4">
            <w:pPr>
              <w:jc w:val="left"/>
              <w:rPr>
                <w:rFonts w:ascii="黑体" w:hAnsi="黑体" w:eastAsia="黑体" w:cs="黑体"/>
                <w:sz w:val="18"/>
                <w:szCs w:val="18"/>
              </w:rPr>
            </w:pPr>
          </w:p>
        </w:tc>
      </w:tr>
    </w:tbl>
    <w:p w14:paraId="5FF5639D">
      <w:pPr>
        <w:pStyle w:val="3"/>
        <w:keepNext w:val="0"/>
        <w:keepLines w:val="0"/>
        <w:widowControl/>
        <w:shd w:val="clear" w:color="auto" w:fill="FFFFFF"/>
        <w:spacing w:before="0" w:after="0" w:line="592" w:lineRule="exact"/>
        <w:rPr>
          <w:rFonts w:ascii="仿宋_GB2312" w:hAnsi="仿宋_GB2312" w:eastAsia="仿宋_GB2312" w:cs="仿宋_GB2312"/>
          <w:color w:val="0F1115"/>
          <w:kern w:val="2"/>
          <w:shd w:val="clear" w:color="auto" w:fill="FFFFFF"/>
        </w:rPr>
      </w:pPr>
      <w:bookmarkStart w:id="658" w:name="_Toc24706"/>
      <w:bookmarkStart w:id="659" w:name="_Toc3744"/>
      <w:r>
        <w:rPr>
          <w:rFonts w:hint="eastAsia" w:ascii="仿宋_GB2312" w:hAnsi="仿宋_GB2312" w:eastAsia="仿宋_GB2312" w:cs="仿宋_GB2312"/>
          <w:color w:val="0F1115"/>
          <w:kern w:val="2"/>
          <w:shd w:val="clear" w:color="auto" w:fill="FFFFFF"/>
        </w:rPr>
        <w:t>三．</w:t>
      </w:r>
      <w:r>
        <w:rPr>
          <w:rFonts w:ascii="仿宋_GB2312" w:hAnsi="仿宋_GB2312" w:eastAsia="仿宋_GB2312" w:cs="仿宋_GB2312"/>
          <w:color w:val="0F1115"/>
          <w:kern w:val="2"/>
          <w:shd w:val="clear" w:color="auto" w:fill="FFFFFF"/>
        </w:rPr>
        <w:t>合同价款</w:t>
      </w:r>
      <w:bookmarkEnd w:id="658"/>
      <w:bookmarkEnd w:id="659"/>
    </w:p>
    <w:p w14:paraId="0722E915">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1.</w:t>
      </w:r>
      <w:r>
        <w:rPr>
          <w:rFonts w:ascii="仿宋_GB2312" w:hAnsi="仿宋_GB2312" w:eastAsia="仿宋_GB2312" w:cs="仿宋_GB2312"/>
          <w:color w:val="0F1115"/>
          <w:sz w:val="32"/>
          <w:szCs w:val="32"/>
          <w:shd w:val="clear" w:color="auto" w:fill="FFFFFF"/>
        </w:rPr>
        <w:t>合同暂定总价：¥</w:t>
      </w:r>
      <w:r>
        <w:rPr>
          <w:rFonts w:hint="eastAsia" w:ascii="仿宋_GB2312" w:hAnsi="仿宋_GB2312" w:eastAsia="仿宋_GB2312" w:cs="仿宋_GB2312"/>
          <w:color w:val="0F1115"/>
          <w:sz w:val="32"/>
          <w:szCs w:val="32"/>
          <w:u w:val="single"/>
          <w:shd w:val="clear" w:color="auto" w:fill="FFFFFF"/>
        </w:rPr>
        <w:t xml:space="preserve">      </w:t>
      </w:r>
      <w:r>
        <w:rPr>
          <w:rFonts w:ascii="仿宋_GB2312" w:hAnsi="仿宋_GB2312" w:eastAsia="仿宋_GB2312" w:cs="仿宋_GB2312"/>
          <w:color w:val="0F1115"/>
          <w:sz w:val="32"/>
          <w:szCs w:val="32"/>
          <w:shd w:val="clear" w:color="auto" w:fill="FFFFFF"/>
        </w:rPr>
        <w:t>元（大写：人民币</w:t>
      </w:r>
      <w:r>
        <w:rPr>
          <w:rFonts w:hint="eastAsia" w:ascii="仿宋_GB2312" w:hAnsi="仿宋_GB2312" w:eastAsia="仿宋_GB2312" w:cs="仿宋_GB2312"/>
          <w:color w:val="0F1115"/>
          <w:sz w:val="32"/>
          <w:szCs w:val="32"/>
          <w:u w:val="single"/>
          <w:shd w:val="clear" w:color="auto" w:fill="FFFFFF"/>
        </w:rPr>
        <w:t xml:space="preserve">      </w:t>
      </w:r>
      <w:r>
        <w:rPr>
          <w:rFonts w:ascii="仿宋_GB2312" w:hAnsi="仿宋_GB2312" w:eastAsia="仿宋_GB2312" w:cs="仿宋_GB2312"/>
          <w:color w:val="0F1115"/>
          <w:sz w:val="32"/>
          <w:szCs w:val="32"/>
          <w:shd w:val="clear" w:color="auto" w:fill="FFFFFF"/>
        </w:rPr>
        <w:t>元整）。</w:t>
      </w:r>
    </w:p>
    <w:p w14:paraId="3F42D87B">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2.</w:t>
      </w:r>
      <w:r>
        <w:rPr>
          <w:rFonts w:ascii="仿宋_GB2312" w:hAnsi="仿宋_GB2312" w:eastAsia="仿宋_GB2312" w:cs="仿宋_GB2312"/>
          <w:color w:val="0F1115"/>
          <w:sz w:val="32"/>
          <w:szCs w:val="32"/>
          <w:shd w:val="clear" w:color="auto" w:fill="FFFFFF"/>
        </w:rPr>
        <w:t>本合同为固定综合单价合同，单价包含但不限于材料费、生产成本、包装费、运输费、装卸费、税费、利润及乙方完成本合同义务甲方应支付的全部费用。</w:t>
      </w:r>
    </w:p>
    <w:p w14:paraId="131D62EC">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3.</w:t>
      </w:r>
      <w:r>
        <w:rPr>
          <w:rFonts w:ascii="仿宋_GB2312" w:hAnsi="仿宋_GB2312" w:eastAsia="仿宋_GB2312" w:cs="仿宋_GB2312"/>
          <w:color w:val="0F1115"/>
          <w:sz w:val="32"/>
          <w:szCs w:val="32"/>
          <w:shd w:val="clear" w:color="auto" w:fill="FFFFFF"/>
        </w:rPr>
        <w:t>除根据本合同约定的价格调整外，在合同履行期间，单价不因任何因素而调整。</w:t>
      </w:r>
    </w:p>
    <w:p w14:paraId="4738ABC7">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4.</w:t>
      </w:r>
      <w:r>
        <w:rPr>
          <w:rFonts w:ascii="仿宋_GB2312" w:hAnsi="仿宋_GB2312" w:eastAsia="仿宋_GB2312" w:cs="仿宋_GB2312"/>
          <w:color w:val="0F1115"/>
          <w:sz w:val="32"/>
          <w:szCs w:val="32"/>
          <w:shd w:val="clear" w:color="auto" w:fill="FFFFFF"/>
        </w:rPr>
        <w:t>结算总价=实际供货数量×合同单价。</w:t>
      </w:r>
    </w:p>
    <w:p w14:paraId="093E1A64">
      <w:pPr>
        <w:pStyle w:val="3"/>
        <w:keepNext w:val="0"/>
        <w:keepLines w:val="0"/>
        <w:widowControl/>
        <w:shd w:val="clear" w:color="auto" w:fill="FFFFFF"/>
        <w:spacing w:before="0" w:after="0" w:line="592" w:lineRule="exact"/>
      </w:pPr>
      <w:bookmarkStart w:id="660" w:name="_Toc10010"/>
      <w:bookmarkStart w:id="661" w:name="_Toc9432"/>
      <w:r>
        <w:rPr>
          <w:rFonts w:hint="eastAsia" w:ascii="仿宋_GB2312" w:hAnsi="仿宋_GB2312" w:eastAsia="仿宋_GB2312" w:cs="仿宋_GB2312"/>
          <w:color w:val="0F1115"/>
          <w:kern w:val="2"/>
          <w:shd w:val="clear" w:color="auto" w:fill="FFFFFF"/>
        </w:rPr>
        <w:t>四．</w:t>
      </w:r>
      <w:r>
        <w:rPr>
          <w:rFonts w:ascii="仿宋_GB2312" w:hAnsi="仿宋_GB2312" w:eastAsia="仿宋_GB2312" w:cs="仿宋_GB2312"/>
          <w:color w:val="0F1115"/>
          <w:kern w:val="2"/>
          <w:shd w:val="clear" w:color="auto" w:fill="FFFFFF"/>
        </w:rPr>
        <w:t>质量与技术标准</w:t>
      </w:r>
      <w:bookmarkEnd w:id="660"/>
      <w:bookmarkEnd w:id="661"/>
    </w:p>
    <w:p w14:paraId="73D7E18F">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1.</w:t>
      </w:r>
      <w:r>
        <w:rPr>
          <w:rFonts w:ascii="仿宋_GB2312" w:hAnsi="仿宋_GB2312" w:eastAsia="仿宋_GB2312" w:cs="仿宋_GB2312"/>
          <w:color w:val="0F1115"/>
          <w:sz w:val="32"/>
          <w:szCs w:val="32"/>
          <w:shd w:val="clear" w:color="auto" w:fill="FFFFFF"/>
        </w:rPr>
        <w:t>货物质量必须符合现行中华人民共和国国家标准、行业标准及工程所在地地方标准。各类货物的具体技术要求如下：</w:t>
      </w:r>
    </w:p>
    <w:p w14:paraId="1FF6FFEF">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2.</w:t>
      </w:r>
      <w:r>
        <w:rPr>
          <w:rFonts w:ascii="仿宋_GB2312" w:hAnsi="仿宋_GB2312" w:eastAsia="仿宋_GB2312" w:cs="仿宋_GB2312"/>
          <w:color w:val="0F1115"/>
          <w:sz w:val="32"/>
          <w:szCs w:val="32"/>
          <w:shd w:val="clear" w:color="auto" w:fill="FFFFFF"/>
        </w:rPr>
        <w:t>SBS改性沥青AC-20中粒式沥青混凝土：材质为SBS改性沥青，级配需严格控制在《公路沥青路面施工技术规范》规定的AC-20范围内。</w:t>
      </w:r>
    </w:p>
    <w:p w14:paraId="6D78AAF3">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3.</w:t>
      </w:r>
      <w:r>
        <w:rPr>
          <w:rFonts w:ascii="仿宋_GB2312" w:hAnsi="仿宋_GB2312" w:eastAsia="仿宋_GB2312" w:cs="仿宋_GB2312"/>
          <w:color w:val="0F1115"/>
          <w:sz w:val="32"/>
          <w:szCs w:val="32"/>
          <w:shd w:val="clear" w:color="auto" w:fill="FFFFFF"/>
        </w:rPr>
        <w:t>SBS改性沥青SMA-13细粒式沥青混凝土（玄武岩石料）：材质为沥青玛蹄脂碎石混合料。粗集料须采用坚硬、洁净、干燥、表面粗糙的玄武岩碎石，其压碎值、磨光值、粘附性等指标须符合规范要求；细集料须采用由玄武岩碎石轧制而成的坚硬、洁净、干燥的机制砂或石屑。级配需严格控制在《公路沥青路面施工技术规范》规定的SMA-13范围内。</w:t>
      </w:r>
    </w:p>
    <w:p w14:paraId="3537487E">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4.</w:t>
      </w:r>
      <w:r>
        <w:rPr>
          <w:rFonts w:ascii="仿宋_GB2312" w:hAnsi="仿宋_GB2312" w:eastAsia="仿宋_GB2312" w:cs="仿宋_GB2312"/>
          <w:color w:val="0F1115"/>
          <w:sz w:val="32"/>
          <w:szCs w:val="32"/>
          <w:shd w:val="clear" w:color="auto" w:fill="FFFFFF"/>
        </w:rPr>
        <w:t>高渗透型乳化沥青（用于透层、封层）：</w:t>
      </w:r>
    </w:p>
    <w:p w14:paraId="540E9F45">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型号：高渗透型乳化沥青。</w:t>
      </w:r>
    </w:p>
    <w:p w14:paraId="0A632521">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用量：0.8-1.0 L/㎡技术要求：其质量、性能及施工要求必须符合《公路沥青路面施工技术规范》及相关设计文件的规定。SBS改性乳化沥青（用于粘层）：</w:t>
      </w:r>
    </w:p>
    <w:p w14:paraId="421C88BF">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5.</w:t>
      </w:r>
      <w:r>
        <w:rPr>
          <w:rFonts w:ascii="仿宋_GB2312" w:hAnsi="仿宋_GB2312" w:eastAsia="仿宋_GB2312" w:cs="仿宋_GB2312"/>
          <w:color w:val="0F1115"/>
          <w:sz w:val="32"/>
          <w:szCs w:val="32"/>
          <w:shd w:val="clear" w:color="auto" w:fill="FFFFFF"/>
        </w:rPr>
        <w:t>型号：SBS改性乳化沥青。</w:t>
      </w:r>
    </w:p>
    <w:p w14:paraId="1B490D88">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用量：0.3-0.5 L/㎡技术要求：其质量、性能及施工要求必须符合《公路沥青路面施工技术规范》及相关设计文件的规定。</w:t>
      </w:r>
    </w:p>
    <w:p w14:paraId="24BA8934">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6.</w:t>
      </w:r>
      <w:r>
        <w:rPr>
          <w:rFonts w:ascii="仿宋_GB2312" w:hAnsi="仿宋_GB2312" w:eastAsia="仿宋_GB2312" w:cs="仿宋_GB2312"/>
          <w:color w:val="0F1115"/>
          <w:sz w:val="32"/>
          <w:szCs w:val="32"/>
          <w:shd w:val="clear" w:color="auto" w:fill="FFFFFF"/>
        </w:rPr>
        <w:t>乙方应随货提供每批次货物的质量合格证明、出厂检测报告等文件。</w:t>
      </w:r>
    </w:p>
    <w:p w14:paraId="4189F314">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7.</w:t>
      </w:r>
      <w:r>
        <w:rPr>
          <w:rFonts w:ascii="仿宋_GB2312" w:hAnsi="仿宋_GB2312" w:eastAsia="仿宋_GB2312" w:cs="仿宋_GB2312"/>
          <w:color w:val="0F1115"/>
          <w:sz w:val="32"/>
          <w:szCs w:val="32"/>
          <w:shd w:val="clear" w:color="auto" w:fill="FFFFFF"/>
        </w:rPr>
        <w:t>货物运抵现场后，甲方有权委托有资质的第三方检测机构按规范要求进行取样检测。如检测不合格，甲方有权拒收，乙方须在</w:t>
      </w:r>
      <w:r>
        <w:rPr>
          <w:rFonts w:hint="eastAsia" w:ascii="仿宋_GB2312" w:hAnsi="仿宋_GB2312" w:eastAsia="仿宋_GB2312" w:cs="仿宋_GB2312"/>
          <w:color w:val="0F1115"/>
          <w:sz w:val="32"/>
          <w:szCs w:val="32"/>
          <w:shd w:val="clear" w:color="auto" w:fill="FFFFFF"/>
        </w:rPr>
        <w:t>1</w:t>
      </w:r>
      <w:r>
        <w:rPr>
          <w:rFonts w:ascii="仿宋_GB2312" w:hAnsi="仿宋_GB2312" w:eastAsia="仿宋_GB2312" w:cs="仿宋_GB2312"/>
          <w:color w:val="0F1115"/>
          <w:sz w:val="32"/>
          <w:szCs w:val="32"/>
          <w:shd w:val="clear" w:color="auto" w:fill="FFFFFF"/>
        </w:rPr>
        <w:t>小时内无条件更换合格产品并承担全部检测费用及因此给甲方造成的损失。</w:t>
      </w:r>
    </w:p>
    <w:p w14:paraId="47F585D8">
      <w:pPr>
        <w:pStyle w:val="16"/>
        <w:widowControl/>
        <w:spacing w:line="592" w:lineRule="exact"/>
        <w:rPr>
          <w:rFonts w:ascii="仿宋_GB2312" w:hAnsi="仿宋_GB2312" w:eastAsia="仿宋_GB2312" w:cs="仿宋_GB2312"/>
          <w:b/>
          <w:bCs/>
          <w:color w:val="0F1115"/>
          <w:sz w:val="32"/>
          <w:szCs w:val="32"/>
          <w:shd w:val="clear" w:color="auto" w:fill="FFFFFF"/>
        </w:rPr>
      </w:pPr>
      <w:r>
        <w:rPr>
          <w:rFonts w:hint="eastAsia" w:ascii="仿宋_GB2312" w:hAnsi="仿宋_GB2312" w:eastAsia="仿宋_GB2312" w:cs="仿宋_GB2312"/>
          <w:b/>
          <w:bCs/>
          <w:color w:val="0F1115"/>
          <w:sz w:val="32"/>
          <w:szCs w:val="32"/>
          <w:shd w:val="clear" w:color="auto" w:fill="FFFFFF"/>
        </w:rPr>
        <w:t>五．</w:t>
      </w:r>
      <w:r>
        <w:rPr>
          <w:rFonts w:ascii="仿宋_GB2312" w:hAnsi="仿宋_GB2312" w:eastAsia="仿宋_GB2312" w:cs="仿宋_GB2312"/>
          <w:b/>
          <w:bCs/>
          <w:color w:val="0F1115"/>
          <w:sz w:val="32"/>
          <w:szCs w:val="32"/>
          <w:shd w:val="clear" w:color="auto" w:fill="FFFFFF"/>
        </w:rPr>
        <w:t>包装、运输与交付</w:t>
      </w:r>
    </w:p>
    <w:p w14:paraId="6558FB98">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1.</w:t>
      </w:r>
      <w:r>
        <w:rPr>
          <w:rFonts w:ascii="仿宋_GB2312" w:hAnsi="仿宋_GB2312" w:eastAsia="仿宋_GB2312" w:cs="仿宋_GB2312"/>
          <w:color w:val="0F1115"/>
          <w:sz w:val="32"/>
          <w:szCs w:val="32"/>
          <w:shd w:val="clear" w:color="auto" w:fill="FFFFFF"/>
        </w:rPr>
        <w:t>货物包装应满足运输及装卸的需要，确保货物安全无损送达。</w:t>
      </w:r>
    </w:p>
    <w:p w14:paraId="40C351CB">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2.</w:t>
      </w:r>
      <w:r>
        <w:rPr>
          <w:rFonts w:ascii="仿宋_GB2312" w:hAnsi="仿宋_GB2312" w:eastAsia="仿宋_GB2312" w:cs="仿宋_GB2312"/>
          <w:color w:val="0F1115"/>
          <w:sz w:val="32"/>
          <w:szCs w:val="32"/>
          <w:shd w:val="clear" w:color="auto" w:fill="FFFFFF"/>
        </w:rPr>
        <w:t>货物的运输由乙方负责，并承担全部费用及风险。</w:t>
      </w:r>
    </w:p>
    <w:p w14:paraId="4510DFE9">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3.</w:t>
      </w:r>
      <w:r>
        <w:rPr>
          <w:rFonts w:ascii="仿宋_GB2312" w:hAnsi="仿宋_GB2312" w:eastAsia="仿宋_GB2312" w:cs="仿宋_GB2312"/>
          <w:color w:val="0F1115"/>
          <w:sz w:val="32"/>
          <w:szCs w:val="32"/>
          <w:shd w:val="clear" w:color="auto" w:fill="FFFFFF"/>
        </w:rPr>
        <w:t>运输车辆要求：必须使用专用沥青混合料运输车辆，单车载重吨位约为35吨，以保障混合料均匀性及保温效果。严禁使用前四后八车型进行运输。</w:t>
      </w:r>
    </w:p>
    <w:p w14:paraId="381558B2">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4.</w:t>
      </w:r>
      <w:r>
        <w:rPr>
          <w:rFonts w:ascii="仿宋_GB2312" w:hAnsi="仿宋_GB2312" w:eastAsia="仿宋_GB2312" w:cs="仿宋_GB2312"/>
          <w:color w:val="0F1115"/>
          <w:sz w:val="32"/>
          <w:szCs w:val="32"/>
          <w:shd w:val="clear" w:color="auto" w:fill="FFFFFF"/>
        </w:rPr>
        <w:t>保温要求：在运输过程中，乙方必须使用完好的篷布或专用保温被对混合料进行严密覆盖，确保有效保温，防止温度散失及环境污染。</w:t>
      </w:r>
    </w:p>
    <w:p w14:paraId="7B28961C">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5.</w:t>
      </w:r>
      <w:r>
        <w:rPr>
          <w:rFonts w:ascii="仿宋_GB2312" w:hAnsi="仿宋_GB2312" w:eastAsia="仿宋_GB2312" w:cs="仿宋_GB2312"/>
          <w:color w:val="0F1115"/>
          <w:sz w:val="32"/>
          <w:szCs w:val="32"/>
          <w:shd w:val="clear" w:color="auto" w:fill="FFFFFF"/>
        </w:rPr>
        <w:t>到场温度要求：混合料运抵本合同约定的施工现场时，其到场温度必须符合摊铺工艺要求。对于沥青混合料，到场温度一般不应低于</w:t>
      </w:r>
      <w:r>
        <w:rPr>
          <w:rFonts w:hint="eastAsia" w:ascii="仿宋_GB2312" w:hAnsi="仿宋_GB2312" w:eastAsia="仿宋_GB2312" w:cs="仿宋_GB2312"/>
          <w:color w:val="0F1115"/>
          <w:sz w:val="32"/>
          <w:szCs w:val="32"/>
          <w:u w:val="single"/>
          <w:shd w:val="clear" w:color="auto" w:fill="FFFFFF"/>
        </w:rPr>
        <w:t xml:space="preserve">     </w:t>
      </w:r>
      <w:r>
        <w:rPr>
          <w:rFonts w:ascii="仿宋_GB2312" w:hAnsi="仿宋_GB2312" w:eastAsia="仿宋_GB2312" w:cs="仿宋_GB2312"/>
          <w:color w:val="0F1115"/>
          <w:sz w:val="32"/>
          <w:szCs w:val="32"/>
          <w:shd w:val="clear" w:color="auto" w:fill="FFFFFF"/>
        </w:rPr>
        <w:t>C（具体温度值由双方根据施工规范与现场条件确认）。</w:t>
      </w:r>
    </w:p>
    <w:p w14:paraId="6A70CEA9">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6.</w:t>
      </w:r>
      <w:r>
        <w:rPr>
          <w:rFonts w:ascii="仿宋_GB2312" w:hAnsi="仿宋_GB2312" w:eastAsia="仿宋_GB2312" w:cs="仿宋_GB2312"/>
          <w:color w:val="0F1115"/>
          <w:sz w:val="32"/>
          <w:szCs w:val="32"/>
          <w:shd w:val="clear" w:color="auto" w:fill="FFFFFF"/>
        </w:rPr>
        <w:t>交付地点：矿山连接道路维修工程施工现场（具体卸货点位由甲方现场指定）。</w:t>
      </w:r>
    </w:p>
    <w:p w14:paraId="7D8BDA28">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7.</w:t>
      </w:r>
      <w:r>
        <w:rPr>
          <w:rFonts w:ascii="仿宋_GB2312" w:hAnsi="仿宋_GB2312" w:eastAsia="仿宋_GB2312" w:cs="仿宋_GB2312"/>
          <w:color w:val="0F1115"/>
          <w:sz w:val="32"/>
          <w:szCs w:val="32"/>
          <w:shd w:val="clear" w:color="auto" w:fill="FFFFFF"/>
        </w:rPr>
        <w:t>运输车辆应服从甲方现场人员的调度指挥。乙方应采取有效措施，防止在运输、装卸过程中对施工现场及周边环境造成污染。</w:t>
      </w:r>
    </w:p>
    <w:p w14:paraId="1F8088EB">
      <w:pPr>
        <w:pStyle w:val="16"/>
        <w:widowControl/>
        <w:spacing w:line="592" w:lineRule="exact"/>
        <w:rPr>
          <w:rFonts w:ascii="仿宋_GB2312" w:hAnsi="仿宋_GB2312" w:eastAsia="仿宋_GB2312" w:cs="仿宋_GB2312"/>
          <w:b/>
          <w:bCs/>
          <w:color w:val="0F1115"/>
          <w:sz w:val="32"/>
          <w:szCs w:val="32"/>
          <w:shd w:val="clear" w:color="auto" w:fill="FFFFFF"/>
        </w:rPr>
      </w:pPr>
      <w:r>
        <w:rPr>
          <w:rFonts w:hint="eastAsia" w:ascii="仿宋_GB2312" w:hAnsi="仿宋_GB2312" w:eastAsia="仿宋_GB2312" w:cs="仿宋_GB2312"/>
          <w:b/>
          <w:bCs/>
          <w:color w:val="0F1115"/>
          <w:sz w:val="32"/>
          <w:szCs w:val="32"/>
          <w:shd w:val="clear" w:color="auto" w:fill="FFFFFF"/>
        </w:rPr>
        <w:t>六.</w:t>
      </w:r>
      <w:r>
        <w:rPr>
          <w:rFonts w:ascii="仿宋_GB2312" w:hAnsi="仿宋_GB2312" w:eastAsia="仿宋_GB2312" w:cs="仿宋_GB2312"/>
          <w:b/>
          <w:bCs/>
          <w:color w:val="0F1115"/>
          <w:sz w:val="32"/>
          <w:szCs w:val="32"/>
          <w:shd w:val="clear" w:color="auto" w:fill="FFFFFF"/>
        </w:rPr>
        <w:t>供货期限</w:t>
      </w:r>
    </w:p>
    <w:p w14:paraId="4F86D431">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1.</w:t>
      </w:r>
      <w:r>
        <w:rPr>
          <w:rFonts w:ascii="仿宋_GB2312" w:hAnsi="仿宋_GB2312" w:eastAsia="仿宋_GB2312" w:cs="仿宋_GB2312"/>
          <w:color w:val="0F1115"/>
          <w:sz w:val="32"/>
          <w:szCs w:val="32"/>
          <w:shd w:val="clear" w:color="auto" w:fill="FFFFFF"/>
        </w:rPr>
        <w:t>供货期暂定为</w:t>
      </w:r>
      <w:r>
        <w:rPr>
          <w:rFonts w:hint="eastAsia" w:ascii="仿宋_GB2312" w:hAnsi="仿宋_GB2312" w:eastAsia="仿宋_GB2312" w:cs="仿宋_GB2312"/>
          <w:color w:val="0F1115"/>
          <w:sz w:val="32"/>
          <w:szCs w:val="32"/>
          <w:shd w:val="clear" w:color="auto" w:fill="FFFFFF"/>
        </w:rPr>
        <w:t xml:space="preserve"> </w:t>
      </w:r>
      <w:r>
        <w:rPr>
          <w:rFonts w:ascii="仿宋_GB2312" w:hAnsi="仿宋_GB2312" w:eastAsia="仿宋_GB2312" w:cs="仿宋_GB2312"/>
          <w:color w:val="0F1115"/>
          <w:sz w:val="32"/>
          <w:szCs w:val="32"/>
          <w:shd w:val="clear" w:color="auto" w:fill="FFFFFF"/>
        </w:rPr>
        <w:t>年 月</w:t>
      </w:r>
      <w:r>
        <w:rPr>
          <w:rFonts w:hint="eastAsia" w:ascii="仿宋_GB2312" w:hAnsi="仿宋_GB2312" w:eastAsia="仿宋_GB2312" w:cs="仿宋_GB2312"/>
          <w:color w:val="0F1115"/>
          <w:sz w:val="32"/>
          <w:szCs w:val="32"/>
          <w:shd w:val="clear" w:color="auto" w:fill="FFFFFF"/>
        </w:rPr>
        <w:t xml:space="preserve"> </w:t>
      </w:r>
      <w:r>
        <w:rPr>
          <w:rFonts w:ascii="仿宋_GB2312" w:hAnsi="仿宋_GB2312" w:eastAsia="仿宋_GB2312" w:cs="仿宋_GB2312"/>
          <w:color w:val="0F1115"/>
          <w:sz w:val="32"/>
          <w:szCs w:val="32"/>
          <w:shd w:val="clear" w:color="auto" w:fill="FFFFFF"/>
        </w:rPr>
        <w:t>日至 年 月 日。具体供货时间以甲方提前</w:t>
      </w:r>
      <w:r>
        <w:rPr>
          <w:rFonts w:hint="eastAsia" w:ascii="仿宋_GB2312" w:hAnsi="仿宋_GB2312" w:eastAsia="仿宋_GB2312" w:cs="仿宋_GB2312"/>
          <w:color w:val="0F1115"/>
          <w:sz w:val="32"/>
          <w:szCs w:val="32"/>
          <w:shd w:val="clear" w:color="auto" w:fill="FFFFFF"/>
        </w:rPr>
        <w:t>1天</w:t>
      </w:r>
      <w:r>
        <w:rPr>
          <w:rFonts w:ascii="仿宋_GB2312" w:hAnsi="仿宋_GB2312" w:eastAsia="仿宋_GB2312" w:cs="仿宋_GB2312"/>
          <w:color w:val="0F1115"/>
          <w:sz w:val="32"/>
          <w:szCs w:val="32"/>
          <w:shd w:val="clear" w:color="auto" w:fill="FFFFFF"/>
        </w:rPr>
        <w:t>发出的通知为准。</w:t>
      </w:r>
    </w:p>
    <w:p w14:paraId="61A92E91">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2.</w:t>
      </w:r>
      <w:r>
        <w:rPr>
          <w:rFonts w:ascii="仿宋_GB2312" w:hAnsi="仿宋_GB2312" w:eastAsia="仿宋_GB2312" w:cs="仿宋_GB2312"/>
          <w:color w:val="0F1115"/>
          <w:sz w:val="32"/>
          <w:szCs w:val="32"/>
          <w:shd w:val="clear" w:color="auto" w:fill="FFFFFF"/>
        </w:rPr>
        <w:t>乙方必须按甲方通知的时间、数量、规格准时供货。因乙方原因延误供货，影响甲方施工进度的，乙方应承担违约责任。</w:t>
      </w:r>
    </w:p>
    <w:p w14:paraId="168E850E">
      <w:pPr>
        <w:pStyle w:val="16"/>
        <w:widowControl/>
        <w:spacing w:line="592" w:lineRule="exact"/>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b/>
          <w:bCs/>
          <w:color w:val="0F1115"/>
          <w:sz w:val="32"/>
          <w:szCs w:val="32"/>
          <w:shd w:val="clear" w:color="auto" w:fill="FFFFFF"/>
        </w:rPr>
        <w:t>七.</w:t>
      </w:r>
      <w:r>
        <w:rPr>
          <w:rFonts w:ascii="仿宋_GB2312" w:hAnsi="仿宋_GB2312" w:eastAsia="仿宋_GB2312" w:cs="仿宋_GB2312"/>
          <w:b/>
          <w:bCs/>
          <w:color w:val="0F1115"/>
          <w:sz w:val="32"/>
          <w:szCs w:val="32"/>
          <w:shd w:val="clear" w:color="auto" w:fill="FFFFFF"/>
        </w:rPr>
        <w:t>验收</w:t>
      </w:r>
    </w:p>
    <w:p w14:paraId="0159C78A">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1.</w:t>
      </w:r>
      <w:r>
        <w:rPr>
          <w:rFonts w:ascii="仿宋_GB2312" w:hAnsi="仿宋_GB2312" w:eastAsia="仿宋_GB2312" w:cs="仿宋_GB2312"/>
          <w:color w:val="0F1115"/>
          <w:sz w:val="32"/>
          <w:szCs w:val="32"/>
          <w:shd w:val="clear" w:color="auto" w:fill="FFFFFF"/>
        </w:rPr>
        <w:t>货物运抵指定地点后，甲乙双方应共同对货物数量、规格型号、外观进行清点初验，并签字确认。</w:t>
      </w:r>
    </w:p>
    <w:p w14:paraId="5FFDE645">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2.</w:t>
      </w:r>
      <w:r>
        <w:rPr>
          <w:rFonts w:ascii="仿宋_GB2312" w:hAnsi="仿宋_GB2312" w:eastAsia="仿宋_GB2312" w:cs="仿宋_GB2312"/>
          <w:color w:val="0F1115"/>
          <w:sz w:val="32"/>
          <w:szCs w:val="32"/>
          <w:shd w:val="clear" w:color="auto" w:fill="FFFFFF"/>
        </w:rPr>
        <w:t>初验无误后，甲方组织进行卸货。卸货完毕或施工摊铺完成后，双方应共同签署收货凭证，作为结算依据之一。</w:t>
      </w:r>
    </w:p>
    <w:p w14:paraId="5395329E">
      <w:pPr>
        <w:pStyle w:val="16"/>
        <w:widowControl/>
        <w:spacing w:line="592" w:lineRule="exact"/>
        <w:rPr>
          <w:rFonts w:ascii="仿宋_GB2312" w:hAnsi="仿宋_GB2312" w:eastAsia="仿宋_GB2312" w:cs="仿宋_GB2312"/>
          <w:b/>
          <w:bCs/>
          <w:color w:val="0F1115"/>
          <w:sz w:val="32"/>
          <w:szCs w:val="32"/>
          <w:shd w:val="clear" w:color="auto" w:fill="FFFFFF"/>
        </w:rPr>
      </w:pPr>
      <w:r>
        <w:rPr>
          <w:rFonts w:hint="eastAsia" w:ascii="仿宋_GB2312" w:hAnsi="仿宋_GB2312" w:eastAsia="仿宋_GB2312" w:cs="仿宋_GB2312"/>
          <w:b/>
          <w:bCs/>
          <w:color w:val="0F1115"/>
          <w:sz w:val="32"/>
          <w:szCs w:val="32"/>
          <w:shd w:val="clear" w:color="auto" w:fill="FFFFFF"/>
        </w:rPr>
        <w:t>八.</w:t>
      </w:r>
      <w:r>
        <w:rPr>
          <w:rFonts w:ascii="仿宋_GB2312" w:hAnsi="仿宋_GB2312" w:eastAsia="仿宋_GB2312" w:cs="仿宋_GB2312"/>
          <w:b/>
          <w:bCs/>
          <w:color w:val="0F1115"/>
          <w:sz w:val="32"/>
          <w:szCs w:val="32"/>
          <w:shd w:val="clear" w:color="auto" w:fill="FFFFFF"/>
        </w:rPr>
        <w:t>付款方式</w:t>
      </w:r>
    </w:p>
    <w:p w14:paraId="598C2403">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1.</w:t>
      </w:r>
      <w:r>
        <w:rPr>
          <w:rFonts w:ascii="仿宋_GB2312" w:hAnsi="仿宋_GB2312" w:eastAsia="仿宋_GB2312" w:cs="仿宋_GB2312"/>
          <w:color w:val="0F1115"/>
          <w:sz w:val="32"/>
          <w:szCs w:val="32"/>
          <w:shd w:val="clear" w:color="auto" w:fill="FFFFFF"/>
        </w:rPr>
        <w:t>本合同无预付款。</w:t>
      </w:r>
    </w:p>
    <w:p w14:paraId="5B5486BA">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2.支付方式：银行承兑汇票</w:t>
      </w:r>
    </w:p>
    <w:p w14:paraId="49154D30">
      <w:pPr>
        <w:pStyle w:val="16"/>
        <w:widowControl/>
        <w:spacing w:line="592" w:lineRule="exact"/>
        <w:ind w:firstLine="320" w:firstLineChars="100"/>
        <w:rPr>
          <w:rFonts w:ascii="仿宋_GB2312" w:hAnsi="仿宋_GB2312" w:eastAsia="仿宋_GB2312" w:cs="仿宋_GB2312"/>
          <w:color w:val="0F1115"/>
          <w:kern w:val="2"/>
          <w:sz w:val="32"/>
          <w:szCs w:val="32"/>
          <w:shd w:val="clear" w:color="auto" w:fill="FFFFFF"/>
          <w:lang w:val="en-US" w:eastAsia="zh-CN" w:bidi="ar-SA"/>
        </w:rPr>
      </w:pPr>
      <w:r>
        <w:rPr>
          <w:rFonts w:hint="eastAsia" w:ascii="仿宋_GB2312" w:hAnsi="仿宋_GB2312" w:eastAsia="仿宋_GB2312" w:cs="仿宋_GB2312"/>
          <w:color w:val="0F1115"/>
          <w:kern w:val="2"/>
          <w:sz w:val="32"/>
          <w:szCs w:val="32"/>
          <w:shd w:val="clear" w:color="auto" w:fill="FFFFFF"/>
          <w:lang w:val="en-US" w:eastAsia="zh-CN" w:bidi="ar-SA"/>
        </w:rPr>
        <w:t>3.</w:t>
      </w:r>
      <w:r>
        <w:rPr>
          <w:rFonts w:ascii="仿宋_GB2312" w:hAnsi="仿宋_GB2312" w:eastAsia="仿宋_GB2312" w:cs="仿宋_GB2312"/>
          <w:color w:val="0F1115"/>
          <w:kern w:val="2"/>
          <w:sz w:val="32"/>
          <w:szCs w:val="32"/>
          <w:shd w:val="clear" w:color="auto" w:fill="FFFFFF"/>
          <w:lang w:val="en-US" w:eastAsia="zh-CN" w:bidi="ar-SA"/>
        </w:rPr>
        <w:t>货物按期供应完成，经甲方验收合格且双方办理完结算手续。</w:t>
      </w:r>
    </w:p>
    <w:p w14:paraId="1575CBBB">
      <w:pPr>
        <w:pStyle w:val="16"/>
        <w:widowControl/>
        <w:spacing w:line="592" w:lineRule="exact"/>
        <w:ind w:firstLine="320" w:firstLineChars="100"/>
        <w:rPr>
          <w:rFonts w:hint="eastAsia" w:ascii="仿宋_GB2312" w:hAnsi="仿宋_GB2312" w:eastAsia="仿宋_GB2312" w:cs="仿宋_GB2312"/>
          <w:color w:val="0F1115"/>
          <w:kern w:val="2"/>
          <w:sz w:val="32"/>
          <w:szCs w:val="32"/>
          <w:shd w:val="clear" w:color="auto" w:fill="FFFFFF"/>
          <w:lang w:val="en-US" w:eastAsia="zh-CN" w:bidi="ar-SA"/>
        </w:rPr>
      </w:pPr>
      <w:r>
        <w:rPr>
          <w:rFonts w:hint="eastAsia" w:ascii="仿宋_GB2312" w:hAnsi="仿宋_GB2312" w:eastAsia="仿宋_GB2312" w:cs="仿宋_GB2312"/>
          <w:color w:val="0F1115"/>
          <w:kern w:val="2"/>
          <w:sz w:val="32"/>
          <w:szCs w:val="32"/>
          <w:shd w:val="clear" w:color="auto" w:fill="FFFFFF"/>
          <w:lang w:val="en-US" w:eastAsia="zh-CN" w:bidi="ar-SA"/>
        </w:rPr>
        <w:t>4.双方完成结算确认后，乙方须向甲方开具结算总价全额95%（税率为9%）的增值税专用发票。甲方于收到合法有效发票后30日内，向乙方支付至双方确认的结算总价的95%。</w:t>
      </w:r>
    </w:p>
    <w:p w14:paraId="5700E293">
      <w:pPr>
        <w:pStyle w:val="16"/>
        <w:widowControl/>
        <w:spacing w:line="592" w:lineRule="exact"/>
        <w:ind w:firstLine="320" w:firstLineChars="100"/>
        <w:rPr>
          <w:rFonts w:hint="eastAsia" w:ascii="仿宋_GB2312" w:hAnsi="仿宋_GB2312" w:eastAsia="仿宋_GB2312" w:cs="仿宋_GB2312"/>
          <w:color w:val="0F1115"/>
          <w:kern w:val="2"/>
          <w:sz w:val="32"/>
          <w:szCs w:val="32"/>
          <w:shd w:val="clear" w:color="auto" w:fill="FFFFFF"/>
          <w:lang w:val="en-US" w:eastAsia="zh-CN" w:bidi="ar-SA"/>
        </w:rPr>
      </w:pPr>
      <w:r>
        <w:rPr>
          <w:rFonts w:hint="eastAsia" w:ascii="仿宋_GB2312" w:hAnsi="仿宋_GB2312" w:eastAsia="仿宋_GB2312" w:cs="仿宋_GB2312"/>
          <w:color w:val="0F1115"/>
          <w:kern w:val="2"/>
          <w:sz w:val="32"/>
          <w:szCs w:val="32"/>
          <w:shd w:val="clear" w:color="auto" w:fill="FFFFFF"/>
          <w:lang w:val="en-US" w:eastAsia="zh-CN" w:bidi="ar-SA"/>
        </w:rPr>
        <w:t>5.剩余5%作为质保金，待质保期满后，乙方开具剩余款项增值税发票，甲方于收到合法有效发票后30日内完成支付。</w:t>
      </w:r>
    </w:p>
    <w:p w14:paraId="46AEDAF9">
      <w:pPr>
        <w:adjustRightInd w:val="0"/>
        <w:snapToGrid w:val="0"/>
        <w:spacing w:line="508" w:lineRule="exact"/>
        <w:ind w:firstLine="286" w:firstLineChars="100"/>
        <w:rPr>
          <w:rFonts w:ascii="仿宋_GB2312" w:hAnsi="仿宋_GB2312" w:eastAsia="仿宋_GB2312" w:cs="仿宋_GB2312"/>
          <w:color w:val="0F1115"/>
          <w:sz w:val="32"/>
          <w:szCs w:val="32"/>
          <w:shd w:val="clear" w:color="auto" w:fill="FFFFFF"/>
        </w:rPr>
      </w:pPr>
      <w:r>
        <w:rPr>
          <w:rFonts w:hint="eastAsia" w:ascii="仿宋_GB2312" w:hAnsi="宋体" w:eastAsia="仿宋_GB2312"/>
          <w:spacing w:val="3"/>
          <w:sz w:val="28"/>
          <w:szCs w:val="28"/>
          <w:lang w:val="en-US" w:eastAsia="zh-CN"/>
        </w:rPr>
        <w:t>6.</w:t>
      </w:r>
      <w:r>
        <w:rPr>
          <w:rFonts w:ascii="仿宋_GB2312" w:hAnsi="仿宋_GB2312" w:eastAsia="仿宋_GB2312" w:cs="仿宋_GB2312"/>
          <w:color w:val="0F1115"/>
          <w:sz w:val="32"/>
          <w:szCs w:val="32"/>
          <w:shd w:val="clear" w:color="auto" w:fill="FFFFFF"/>
        </w:rPr>
        <w:t>乙方收款前须向甲方开具合法有效的税率为</w:t>
      </w:r>
      <w:r>
        <w:rPr>
          <w:rFonts w:hint="eastAsia" w:ascii="仿宋_GB2312" w:hAnsi="仿宋_GB2312" w:eastAsia="仿宋_GB2312" w:cs="仿宋_GB2312"/>
          <w:color w:val="0F1115"/>
          <w:sz w:val="32"/>
          <w:szCs w:val="32"/>
          <w:shd w:val="clear" w:color="auto" w:fill="FFFFFF"/>
        </w:rPr>
        <w:t>9</w:t>
      </w:r>
      <w:r>
        <w:rPr>
          <w:rFonts w:ascii="仿宋_GB2312" w:hAnsi="仿宋_GB2312" w:eastAsia="仿宋_GB2312" w:cs="仿宋_GB2312"/>
          <w:color w:val="0F1115"/>
          <w:sz w:val="32"/>
          <w:szCs w:val="32"/>
          <w:shd w:val="clear" w:color="auto" w:fill="FFFFFF"/>
        </w:rPr>
        <w:t>%的增值税专用发票，否则甲方付款期限顺延。</w:t>
      </w:r>
    </w:p>
    <w:p w14:paraId="3D467711">
      <w:pPr>
        <w:adjustRightInd w:val="0"/>
        <w:snapToGrid w:val="0"/>
        <w:spacing w:line="508" w:lineRule="exact"/>
        <w:ind w:firstLine="286" w:firstLineChars="100"/>
        <w:rPr>
          <w:rFonts w:ascii="仿宋_GB2312" w:hAnsi="仿宋_GB2312" w:eastAsia="仿宋_GB2312" w:cs="仿宋_GB2312"/>
          <w:color w:val="0F1115"/>
          <w:sz w:val="32"/>
          <w:szCs w:val="32"/>
          <w:shd w:val="clear" w:color="auto" w:fill="FFFFFF"/>
        </w:rPr>
      </w:pPr>
      <w:r>
        <w:rPr>
          <w:rFonts w:hint="eastAsia" w:ascii="仿宋_GB2312" w:hAnsi="宋体" w:eastAsia="仿宋_GB2312"/>
          <w:spacing w:val="3"/>
          <w:sz w:val="28"/>
          <w:szCs w:val="28"/>
          <w:lang w:val="en-US" w:eastAsia="zh-CN"/>
        </w:rPr>
        <w:t>7.</w:t>
      </w:r>
      <w:r>
        <w:rPr>
          <w:rFonts w:hint="eastAsia" w:ascii="仿宋_GB2312" w:hAnsi="宋体" w:eastAsia="仿宋_GB2312"/>
          <w:spacing w:val="3"/>
          <w:sz w:val="28"/>
          <w:szCs w:val="28"/>
        </w:rPr>
        <w:t>质量</w:t>
      </w:r>
      <w:r>
        <w:rPr>
          <w:rFonts w:hint="eastAsia" w:ascii="仿宋_GB2312" w:hAnsi="宋体" w:eastAsia="仿宋_GB2312"/>
          <w:spacing w:val="3"/>
          <w:sz w:val="28"/>
          <w:szCs w:val="28"/>
          <w:lang w:val="en-US" w:eastAsia="zh-CN"/>
        </w:rPr>
        <w:t>期限</w:t>
      </w:r>
      <w:r>
        <w:rPr>
          <w:rFonts w:hint="eastAsia" w:ascii="仿宋_GB2312" w:hAnsi="宋体" w:eastAsia="仿宋_GB2312"/>
          <w:spacing w:val="3"/>
          <w:sz w:val="28"/>
          <w:szCs w:val="28"/>
        </w:rPr>
        <w:t>：本工程质量缺陷修复期为</w:t>
      </w:r>
      <w:r>
        <w:rPr>
          <w:rFonts w:hint="eastAsia" w:ascii="仿宋_GB2312" w:hAnsi="宋体" w:eastAsia="仿宋_GB2312"/>
          <w:spacing w:val="3"/>
          <w:sz w:val="28"/>
          <w:szCs w:val="28"/>
          <w:lang w:val="en-US" w:eastAsia="zh-CN"/>
        </w:rPr>
        <w:t>12</w:t>
      </w:r>
      <w:r>
        <w:rPr>
          <w:rFonts w:hint="eastAsia" w:ascii="仿宋_GB2312" w:hAnsi="宋体" w:eastAsia="仿宋_GB2312"/>
          <w:spacing w:val="3"/>
          <w:sz w:val="28"/>
          <w:szCs w:val="28"/>
        </w:rPr>
        <w:t>个月，自</w:t>
      </w:r>
      <w:r>
        <w:rPr>
          <w:rFonts w:hint="eastAsia" w:ascii="仿宋_GB2312" w:hAnsi="宋体" w:eastAsia="仿宋_GB2312"/>
          <w:spacing w:val="3"/>
          <w:sz w:val="28"/>
          <w:szCs w:val="28"/>
          <w:lang w:val="en-US" w:eastAsia="zh-CN"/>
        </w:rPr>
        <w:t>双方验收合格及办理手续完成</w:t>
      </w:r>
      <w:r>
        <w:rPr>
          <w:rFonts w:hint="eastAsia" w:ascii="仿宋_GB2312" w:hAnsi="宋体" w:eastAsia="仿宋_GB2312"/>
          <w:spacing w:val="3"/>
          <w:sz w:val="28"/>
          <w:szCs w:val="28"/>
        </w:rPr>
        <w:t>之日起计算。</w:t>
      </w:r>
    </w:p>
    <w:p w14:paraId="49257FDF">
      <w:pPr>
        <w:pStyle w:val="16"/>
        <w:widowControl/>
        <w:spacing w:line="592" w:lineRule="exact"/>
        <w:rPr>
          <w:rFonts w:ascii="仿宋_GB2312" w:hAnsi="仿宋_GB2312" w:eastAsia="仿宋_GB2312" w:cs="仿宋_GB2312"/>
          <w:b/>
          <w:bCs/>
          <w:color w:val="0F1115"/>
          <w:sz w:val="32"/>
          <w:szCs w:val="32"/>
          <w:shd w:val="clear" w:color="auto" w:fill="FFFFFF"/>
        </w:rPr>
      </w:pPr>
      <w:r>
        <w:rPr>
          <w:rFonts w:hint="eastAsia" w:ascii="仿宋_GB2312" w:hAnsi="仿宋_GB2312" w:eastAsia="仿宋_GB2312" w:cs="仿宋_GB2312"/>
          <w:b/>
          <w:bCs/>
          <w:color w:val="0F1115"/>
          <w:sz w:val="32"/>
          <w:szCs w:val="32"/>
          <w:shd w:val="clear" w:color="auto" w:fill="FFFFFF"/>
        </w:rPr>
        <w:t>九.</w:t>
      </w:r>
      <w:r>
        <w:rPr>
          <w:rFonts w:ascii="仿宋_GB2312" w:hAnsi="仿宋_GB2312" w:eastAsia="仿宋_GB2312" w:cs="仿宋_GB2312"/>
          <w:b/>
          <w:bCs/>
          <w:color w:val="0F1115"/>
          <w:sz w:val="32"/>
          <w:szCs w:val="32"/>
          <w:shd w:val="clear" w:color="auto" w:fill="FFFFFF"/>
        </w:rPr>
        <w:t>违约责任</w:t>
      </w:r>
    </w:p>
    <w:p w14:paraId="7BCD9EAF">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1.</w:t>
      </w:r>
      <w:r>
        <w:rPr>
          <w:rFonts w:ascii="仿宋_GB2312" w:hAnsi="仿宋_GB2312" w:eastAsia="仿宋_GB2312" w:cs="仿宋_GB2312"/>
          <w:color w:val="0F1115"/>
          <w:sz w:val="32"/>
          <w:szCs w:val="32"/>
          <w:shd w:val="clear" w:color="auto" w:fill="FFFFFF"/>
        </w:rPr>
        <w:t>乙方交付的货物质量不符合合同约定的，甲方有权要求退货</w:t>
      </w:r>
      <w:r>
        <w:rPr>
          <w:rFonts w:hint="eastAsia" w:ascii="仿宋_GB2312" w:hAnsi="仿宋_GB2312" w:eastAsia="仿宋_GB2312" w:cs="仿宋_GB2312"/>
          <w:color w:val="0F1115"/>
          <w:sz w:val="32"/>
          <w:szCs w:val="32"/>
          <w:shd w:val="clear" w:color="auto" w:fill="FFFFFF"/>
        </w:rPr>
        <w:t>或</w:t>
      </w:r>
      <w:r>
        <w:rPr>
          <w:rFonts w:ascii="仿宋_GB2312" w:hAnsi="仿宋_GB2312" w:eastAsia="仿宋_GB2312" w:cs="仿宋_GB2312"/>
          <w:color w:val="0F1115"/>
          <w:sz w:val="32"/>
          <w:szCs w:val="32"/>
          <w:shd w:val="clear" w:color="auto" w:fill="FFFFFF"/>
        </w:rPr>
        <w:t>换货，乙方还应向甲方支付该批次货物总金额20%的违约金，</w:t>
      </w:r>
      <w:r>
        <w:rPr>
          <w:rFonts w:hint="eastAsia" w:ascii="仿宋_GB2312" w:hAnsi="仿宋_GB2312" w:eastAsia="仿宋_GB2312" w:cs="仿宋_GB2312"/>
          <w:color w:val="0F1115"/>
          <w:sz w:val="32"/>
          <w:szCs w:val="32"/>
          <w:shd w:val="clear" w:color="auto" w:fill="FFFFFF"/>
          <w:lang w:val="en-US" w:eastAsia="zh-CN"/>
        </w:rPr>
        <w:t>不足以弥补甲方损失的乙方应当另行赔偿</w:t>
      </w:r>
      <w:r>
        <w:rPr>
          <w:rFonts w:ascii="仿宋_GB2312" w:hAnsi="仿宋_GB2312" w:eastAsia="仿宋_GB2312" w:cs="仿宋_GB2312"/>
          <w:color w:val="0F1115"/>
          <w:sz w:val="32"/>
          <w:szCs w:val="32"/>
          <w:shd w:val="clear" w:color="auto" w:fill="FFFFFF"/>
        </w:rPr>
        <w:t>。</w:t>
      </w:r>
    </w:p>
    <w:p w14:paraId="5795BE60">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2.</w:t>
      </w:r>
      <w:r>
        <w:rPr>
          <w:rFonts w:ascii="仿宋_GB2312" w:hAnsi="仿宋_GB2312" w:eastAsia="仿宋_GB2312" w:cs="仿宋_GB2312"/>
          <w:color w:val="0F1115"/>
          <w:sz w:val="32"/>
          <w:szCs w:val="32"/>
          <w:shd w:val="clear" w:color="auto" w:fill="FFFFFF"/>
        </w:rPr>
        <w:t>乙方逾期交货的，每逾期一日，应向甲方支付逾期交货部分货款金额千分之三的违约金。逾期超过5日，甲方有权单方解除合同。</w:t>
      </w:r>
    </w:p>
    <w:p w14:paraId="0B064DD2">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3.</w:t>
      </w:r>
      <w:r>
        <w:rPr>
          <w:rFonts w:ascii="仿宋_GB2312" w:hAnsi="仿宋_GB2312" w:eastAsia="仿宋_GB2312" w:cs="仿宋_GB2312"/>
          <w:color w:val="0F1115"/>
          <w:sz w:val="32"/>
          <w:szCs w:val="32"/>
          <w:shd w:val="clear" w:color="auto" w:fill="FFFFFF"/>
        </w:rPr>
        <w:t>因货物质量问题或乙方原因导致甲方工程遭受</w:t>
      </w:r>
      <w:r>
        <w:rPr>
          <w:rFonts w:hint="eastAsia" w:ascii="仿宋_GB2312" w:hAnsi="仿宋_GB2312" w:eastAsia="仿宋_GB2312" w:cs="仿宋_GB2312"/>
          <w:color w:val="0F1115"/>
          <w:sz w:val="32"/>
          <w:szCs w:val="32"/>
          <w:shd w:val="clear" w:color="auto" w:fill="FFFFFF"/>
          <w:lang w:val="en-US" w:eastAsia="zh-CN"/>
        </w:rPr>
        <w:t>业主</w:t>
      </w:r>
      <w:r>
        <w:rPr>
          <w:rFonts w:ascii="仿宋_GB2312" w:hAnsi="仿宋_GB2312" w:eastAsia="仿宋_GB2312" w:cs="仿宋_GB2312"/>
          <w:color w:val="0F1115"/>
          <w:sz w:val="32"/>
          <w:szCs w:val="32"/>
          <w:shd w:val="clear" w:color="auto" w:fill="FFFFFF"/>
        </w:rPr>
        <w:t>、监理或第三方索赔的，全部损失由乙方承担。</w:t>
      </w:r>
    </w:p>
    <w:p w14:paraId="7DA68FBB">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4.</w:t>
      </w:r>
      <w:r>
        <w:rPr>
          <w:rFonts w:ascii="仿宋_GB2312" w:hAnsi="仿宋_GB2312" w:eastAsia="仿宋_GB2312" w:cs="仿宋_GB2312"/>
          <w:color w:val="0F1115"/>
          <w:sz w:val="32"/>
          <w:szCs w:val="32"/>
          <w:shd w:val="clear" w:color="auto" w:fill="FFFFFF"/>
        </w:rPr>
        <w:t>任何一方无故单方解除合同，应向守约方支付合同暂定总价20%的违约金。</w:t>
      </w:r>
    </w:p>
    <w:p w14:paraId="3FE44113">
      <w:pPr>
        <w:pStyle w:val="16"/>
        <w:widowControl/>
        <w:spacing w:line="592" w:lineRule="exact"/>
        <w:rPr>
          <w:rFonts w:ascii="仿宋_GB2312" w:hAnsi="仿宋_GB2312" w:eastAsia="仿宋_GB2312" w:cs="仿宋_GB2312"/>
          <w:b/>
          <w:bCs/>
          <w:color w:val="0F1115"/>
          <w:sz w:val="32"/>
          <w:szCs w:val="32"/>
          <w:shd w:val="clear" w:color="auto" w:fill="FFFFFF"/>
        </w:rPr>
      </w:pPr>
      <w:r>
        <w:rPr>
          <w:rFonts w:hint="eastAsia" w:ascii="仿宋_GB2312" w:hAnsi="仿宋_GB2312" w:eastAsia="仿宋_GB2312" w:cs="仿宋_GB2312"/>
          <w:b/>
          <w:bCs/>
          <w:color w:val="0F1115"/>
          <w:sz w:val="32"/>
          <w:szCs w:val="32"/>
          <w:shd w:val="clear" w:color="auto" w:fill="FFFFFF"/>
        </w:rPr>
        <w:t>十.</w:t>
      </w:r>
      <w:r>
        <w:rPr>
          <w:rFonts w:ascii="仿宋_GB2312" w:hAnsi="仿宋_GB2312" w:eastAsia="仿宋_GB2312" w:cs="仿宋_GB2312"/>
          <w:b/>
          <w:bCs/>
          <w:color w:val="0F1115"/>
          <w:sz w:val="32"/>
          <w:szCs w:val="32"/>
          <w:shd w:val="clear" w:color="auto" w:fill="FFFFFF"/>
        </w:rPr>
        <w:t>免责条款</w:t>
      </w:r>
    </w:p>
    <w:p w14:paraId="40B4D011">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1.</w:t>
      </w:r>
      <w:r>
        <w:rPr>
          <w:rFonts w:ascii="仿宋_GB2312" w:hAnsi="仿宋_GB2312" w:eastAsia="仿宋_GB2312" w:cs="仿宋_GB2312"/>
          <w:color w:val="0F1115"/>
          <w:sz w:val="32"/>
          <w:szCs w:val="32"/>
          <w:shd w:val="clear" w:color="auto" w:fill="FFFFFF"/>
        </w:rPr>
        <w:t>当发生不可抗力，包括但不限于自然灾害、战争、动乱、罢工等；或出现法律法规、政府政策变化；或意外事件，导致本合同不能继续履行，遭受免责事件的一方应通知对方、采取相应措施避免损失的扩大，并在免责事项发生后向对方提供相关部门的书面证明文件，方可免除相应的违约责任。</w:t>
      </w:r>
    </w:p>
    <w:p w14:paraId="309E0FAE">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hint="eastAsia" w:ascii="仿宋_GB2312" w:hAnsi="仿宋_GB2312" w:eastAsia="仿宋_GB2312" w:cs="仿宋_GB2312"/>
          <w:color w:val="0F1115"/>
          <w:sz w:val="32"/>
          <w:szCs w:val="32"/>
          <w:shd w:val="clear" w:color="auto" w:fill="FFFFFF"/>
        </w:rPr>
        <w:t>2.</w:t>
      </w:r>
      <w:r>
        <w:rPr>
          <w:rFonts w:ascii="仿宋_GB2312" w:hAnsi="仿宋_GB2312" w:eastAsia="仿宋_GB2312" w:cs="仿宋_GB2312"/>
          <w:color w:val="0F1115"/>
          <w:sz w:val="32"/>
          <w:szCs w:val="32"/>
          <w:shd w:val="clear" w:color="auto" w:fill="FFFFFF"/>
        </w:rPr>
        <w:t>当出现双方在订立合同时无法预见的、不属于商业风险的重大变化，双方不能协商变更合同导致合同解除的，双方互不承担违约责任。</w:t>
      </w:r>
    </w:p>
    <w:p w14:paraId="690C743F">
      <w:pPr>
        <w:pStyle w:val="16"/>
        <w:widowControl/>
        <w:spacing w:line="592" w:lineRule="exact"/>
        <w:rPr>
          <w:rFonts w:ascii="仿宋_GB2312" w:hAnsi="仿宋_GB2312" w:eastAsia="仿宋_GB2312" w:cs="仿宋_GB2312"/>
          <w:b/>
          <w:bCs/>
          <w:color w:val="0F1115"/>
          <w:sz w:val="32"/>
          <w:szCs w:val="32"/>
          <w:shd w:val="clear" w:color="auto" w:fill="FFFFFF"/>
        </w:rPr>
      </w:pPr>
      <w:r>
        <w:rPr>
          <w:rFonts w:ascii="仿宋_GB2312" w:hAnsi="仿宋_GB2312" w:eastAsia="仿宋_GB2312" w:cs="仿宋_GB2312"/>
          <w:b/>
          <w:bCs/>
          <w:color w:val="0F1115"/>
          <w:sz w:val="32"/>
          <w:szCs w:val="32"/>
          <w:shd w:val="clear" w:color="auto" w:fill="FFFFFF"/>
        </w:rPr>
        <w:t>十</w:t>
      </w:r>
      <w:r>
        <w:rPr>
          <w:rFonts w:hint="eastAsia" w:ascii="仿宋_GB2312" w:hAnsi="仿宋_GB2312" w:eastAsia="仿宋_GB2312" w:cs="仿宋_GB2312"/>
          <w:b/>
          <w:bCs/>
          <w:color w:val="0F1115"/>
          <w:sz w:val="32"/>
          <w:szCs w:val="32"/>
          <w:shd w:val="clear" w:color="auto" w:fill="FFFFFF"/>
        </w:rPr>
        <w:t>一.</w:t>
      </w:r>
      <w:r>
        <w:rPr>
          <w:rFonts w:ascii="仿宋_GB2312" w:hAnsi="仿宋_GB2312" w:eastAsia="仿宋_GB2312" w:cs="仿宋_GB2312"/>
          <w:b/>
          <w:bCs/>
          <w:color w:val="0F1115"/>
          <w:sz w:val="32"/>
          <w:szCs w:val="32"/>
          <w:shd w:val="clear" w:color="auto" w:fill="FFFFFF"/>
        </w:rPr>
        <w:t>其他约定</w:t>
      </w:r>
    </w:p>
    <w:p w14:paraId="2D99BC41">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本合同一式</w:t>
      </w:r>
      <w:r>
        <w:rPr>
          <w:rFonts w:hint="eastAsia" w:ascii="仿宋_GB2312" w:hAnsi="仿宋_GB2312" w:eastAsia="仿宋_GB2312" w:cs="仿宋_GB2312"/>
          <w:color w:val="0F1115"/>
          <w:sz w:val="32"/>
          <w:szCs w:val="32"/>
          <w:shd w:val="clear" w:color="auto" w:fill="FFFFFF"/>
        </w:rPr>
        <w:t>肆</w:t>
      </w:r>
      <w:r>
        <w:rPr>
          <w:rFonts w:ascii="仿宋_GB2312" w:hAnsi="仿宋_GB2312" w:eastAsia="仿宋_GB2312" w:cs="仿宋_GB2312"/>
          <w:color w:val="0F1115"/>
          <w:sz w:val="32"/>
          <w:szCs w:val="32"/>
          <w:shd w:val="clear" w:color="auto" w:fill="FFFFFF"/>
        </w:rPr>
        <w:t>份，甲方执</w:t>
      </w:r>
      <w:r>
        <w:rPr>
          <w:rFonts w:hint="eastAsia" w:ascii="仿宋_GB2312" w:hAnsi="仿宋_GB2312" w:eastAsia="仿宋_GB2312" w:cs="仿宋_GB2312"/>
          <w:color w:val="0F1115"/>
          <w:sz w:val="32"/>
          <w:szCs w:val="32"/>
          <w:shd w:val="clear" w:color="auto" w:fill="FFFFFF"/>
        </w:rPr>
        <w:t>贰</w:t>
      </w:r>
      <w:r>
        <w:rPr>
          <w:rFonts w:ascii="仿宋_GB2312" w:hAnsi="仿宋_GB2312" w:eastAsia="仿宋_GB2312" w:cs="仿宋_GB2312"/>
          <w:color w:val="0F1115"/>
          <w:sz w:val="32"/>
          <w:szCs w:val="32"/>
          <w:shd w:val="clear" w:color="auto" w:fill="FFFFFF"/>
        </w:rPr>
        <w:t>份，乙方执</w:t>
      </w:r>
      <w:r>
        <w:rPr>
          <w:rFonts w:hint="eastAsia" w:ascii="仿宋_GB2312" w:hAnsi="仿宋_GB2312" w:eastAsia="仿宋_GB2312" w:cs="仿宋_GB2312"/>
          <w:color w:val="0F1115"/>
          <w:sz w:val="32"/>
          <w:szCs w:val="32"/>
          <w:shd w:val="clear" w:color="auto" w:fill="FFFFFF"/>
        </w:rPr>
        <w:t>贰</w:t>
      </w:r>
      <w:r>
        <w:rPr>
          <w:rFonts w:ascii="仿宋_GB2312" w:hAnsi="仿宋_GB2312" w:eastAsia="仿宋_GB2312" w:cs="仿宋_GB2312"/>
          <w:color w:val="0F1115"/>
          <w:sz w:val="32"/>
          <w:szCs w:val="32"/>
          <w:shd w:val="clear" w:color="auto" w:fill="FFFFFF"/>
        </w:rPr>
        <w:t>份，经双方法定代表人或委托代理人签字并加盖公章之日起生效。</w:t>
      </w:r>
    </w:p>
    <w:p w14:paraId="6709DF8E">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本合同未尽事宜，双方可签订补充协议。</w:t>
      </w:r>
    </w:p>
    <w:p w14:paraId="317C132D">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t>因履行本合同发生争议，双方应协商解决；协商不成的，依法向甲方所在地人民法院提起诉讼。</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3"/>
        <w:gridCol w:w="4285"/>
      </w:tblGrid>
      <w:tr w14:paraId="5A96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tcPr>
          <w:p w14:paraId="122CE519">
            <w:pPr>
              <w:pStyle w:val="17"/>
              <w:ind w:left="0" w:leftChars="0" w:firstLine="0" w:firstLineChars="0"/>
            </w:pPr>
            <w:r>
              <w:rPr>
                <w:rFonts w:hint="eastAsia" w:ascii="仿宋" w:hAnsi="仿宋" w:eastAsia="仿宋" w:cs="仿宋"/>
                <w:color w:val="000000"/>
                <w:sz w:val="28"/>
                <w:szCs w:val="28"/>
              </w:rPr>
              <w:t>甲方（需方）：济南黄河爆破工程有限责任公司</w:t>
            </w:r>
          </w:p>
        </w:tc>
        <w:tc>
          <w:tcPr>
            <w:tcW w:w="4417" w:type="dxa"/>
          </w:tcPr>
          <w:p w14:paraId="7227879F">
            <w:pPr>
              <w:pStyle w:val="17"/>
              <w:ind w:left="0" w:leftChars="0" w:firstLine="0" w:firstLineChars="0"/>
            </w:pPr>
            <w:r>
              <w:rPr>
                <w:rFonts w:hint="eastAsia" w:ascii="仿宋" w:hAnsi="仿宋" w:eastAsia="仿宋" w:cs="仿宋"/>
                <w:color w:val="000000"/>
                <w:sz w:val="28"/>
                <w:szCs w:val="28"/>
              </w:rPr>
              <w:t>乙方（供方）：</w:t>
            </w:r>
          </w:p>
        </w:tc>
      </w:tr>
      <w:tr w14:paraId="6111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tcPr>
          <w:p w14:paraId="49B140C6">
            <w:pPr>
              <w:pStyle w:val="17"/>
              <w:ind w:left="0" w:leftChars="0" w:firstLine="0" w:firstLineChars="0"/>
              <w:rPr>
                <w:rFonts w:ascii="仿宋" w:hAnsi="仿宋" w:eastAsia="仿宋" w:cs="仿宋"/>
                <w:color w:val="000000"/>
                <w:sz w:val="28"/>
                <w:szCs w:val="28"/>
              </w:rPr>
            </w:pPr>
            <w:r>
              <w:rPr>
                <w:rFonts w:hint="eastAsia" w:ascii="仿宋" w:hAnsi="仿宋" w:eastAsia="仿宋" w:cs="仿宋"/>
                <w:color w:val="000000"/>
                <w:sz w:val="28"/>
                <w:szCs w:val="28"/>
              </w:rPr>
              <w:t>法人（委托人）：</w:t>
            </w:r>
          </w:p>
        </w:tc>
        <w:tc>
          <w:tcPr>
            <w:tcW w:w="4417" w:type="dxa"/>
          </w:tcPr>
          <w:p w14:paraId="759AB412">
            <w:pPr>
              <w:pStyle w:val="17"/>
              <w:ind w:left="0" w:leftChars="0" w:firstLine="0" w:firstLineChars="0"/>
              <w:rPr>
                <w:rFonts w:ascii="仿宋" w:hAnsi="仿宋" w:eastAsia="仿宋" w:cs="仿宋"/>
                <w:color w:val="000000"/>
                <w:sz w:val="28"/>
                <w:szCs w:val="28"/>
              </w:rPr>
            </w:pPr>
            <w:r>
              <w:rPr>
                <w:rFonts w:hint="eastAsia" w:ascii="仿宋" w:hAnsi="仿宋" w:eastAsia="仿宋" w:cs="仿宋"/>
                <w:color w:val="000000"/>
                <w:sz w:val="28"/>
                <w:szCs w:val="28"/>
              </w:rPr>
              <w:t>法人（委托人）：</w:t>
            </w:r>
          </w:p>
        </w:tc>
      </w:tr>
      <w:tr w14:paraId="527D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tcPr>
          <w:p w14:paraId="2768DEDB">
            <w:pPr>
              <w:pStyle w:val="17"/>
              <w:ind w:left="0" w:leftChars="0" w:firstLine="0" w:firstLineChars="0"/>
              <w:rPr>
                <w:rFonts w:ascii="仿宋" w:hAnsi="仿宋" w:eastAsia="仿宋" w:cs="仿宋"/>
                <w:color w:val="000000"/>
                <w:sz w:val="28"/>
                <w:szCs w:val="28"/>
              </w:rPr>
            </w:pPr>
            <w:r>
              <w:rPr>
                <w:rFonts w:hint="eastAsia" w:ascii="仿宋" w:hAnsi="仿宋" w:eastAsia="仿宋" w:cs="仿宋"/>
                <w:color w:val="000000"/>
                <w:sz w:val="28"/>
                <w:szCs w:val="28"/>
              </w:rPr>
              <w:t>住所：山东省济南市章丘区官庄街道长申地村南</w:t>
            </w:r>
          </w:p>
        </w:tc>
        <w:tc>
          <w:tcPr>
            <w:tcW w:w="4417" w:type="dxa"/>
          </w:tcPr>
          <w:p w14:paraId="263D3EA5">
            <w:pPr>
              <w:pStyle w:val="17"/>
              <w:ind w:left="0" w:leftChars="0" w:firstLine="0" w:firstLineChars="0"/>
              <w:rPr>
                <w:rFonts w:ascii="仿宋" w:hAnsi="仿宋" w:eastAsia="仿宋" w:cs="仿宋"/>
                <w:color w:val="000000"/>
                <w:sz w:val="28"/>
                <w:szCs w:val="28"/>
              </w:rPr>
            </w:pPr>
            <w:r>
              <w:rPr>
                <w:rFonts w:hint="eastAsia" w:ascii="仿宋" w:hAnsi="仿宋" w:eastAsia="仿宋" w:cs="仿宋"/>
                <w:color w:val="000000"/>
                <w:sz w:val="28"/>
                <w:szCs w:val="28"/>
              </w:rPr>
              <w:t>住所：</w:t>
            </w:r>
          </w:p>
        </w:tc>
      </w:tr>
      <w:tr w14:paraId="0641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tcPr>
          <w:p w14:paraId="4F00C7BA">
            <w:pPr>
              <w:pStyle w:val="17"/>
              <w:ind w:left="0" w:leftChars="0" w:firstLine="0" w:firstLineChars="0"/>
              <w:rPr>
                <w:rFonts w:ascii="仿宋" w:hAnsi="仿宋" w:eastAsia="仿宋" w:cs="仿宋"/>
                <w:color w:val="000000"/>
                <w:sz w:val="28"/>
                <w:szCs w:val="28"/>
              </w:rPr>
            </w:pPr>
            <w:r>
              <w:rPr>
                <w:rFonts w:hint="eastAsia" w:ascii="仿宋" w:hAnsi="仿宋" w:eastAsia="仿宋" w:cs="仿宋"/>
                <w:color w:val="000000"/>
                <w:sz w:val="28"/>
                <w:szCs w:val="28"/>
              </w:rPr>
              <w:t>电话：0531-83790170</w:t>
            </w:r>
          </w:p>
        </w:tc>
        <w:tc>
          <w:tcPr>
            <w:tcW w:w="4417" w:type="dxa"/>
          </w:tcPr>
          <w:p w14:paraId="63267677">
            <w:pPr>
              <w:pStyle w:val="17"/>
              <w:ind w:left="0" w:leftChars="0" w:firstLine="0" w:firstLineChars="0"/>
              <w:rPr>
                <w:rFonts w:ascii="仿宋" w:hAnsi="仿宋" w:eastAsia="仿宋" w:cs="仿宋"/>
                <w:color w:val="000000"/>
                <w:sz w:val="28"/>
                <w:szCs w:val="28"/>
              </w:rPr>
            </w:pPr>
            <w:r>
              <w:rPr>
                <w:rFonts w:hint="eastAsia" w:ascii="仿宋" w:hAnsi="仿宋" w:eastAsia="仿宋" w:cs="仿宋"/>
                <w:color w:val="000000"/>
                <w:sz w:val="28"/>
                <w:szCs w:val="28"/>
              </w:rPr>
              <w:t>电话：</w:t>
            </w:r>
          </w:p>
        </w:tc>
      </w:tr>
    </w:tbl>
    <w:p w14:paraId="713C2714">
      <w:pPr>
        <w:pStyle w:val="16"/>
        <w:widowControl/>
        <w:spacing w:line="592" w:lineRule="exact"/>
        <w:ind w:firstLine="320" w:firstLineChars="100"/>
        <w:rPr>
          <w:rFonts w:ascii="仿宋_GB2312" w:hAnsi="仿宋_GB2312" w:eastAsia="仿宋_GB2312" w:cs="仿宋_GB2312"/>
          <w:color w:val="0F1115"/>
          <w:sz w:val="32"/>
          <w:szCs w:val="32"/>
          <w:shd w:val="clear" w:color="auto" w:fill="FFFFFF"/>
        </w:rPr>
      </w:pPr>
    </w:p>
    <w:p w14:paraId="26B83BD9">
      <w:pPr>
        <w:pStyle w:val="16"/>
        <w:widowControl/>
        <w:spacing w:line="592" w:lineRule="exact"/>
        <w:jc w:val="center"/>
        <w:rPr>
          <w:rFonts w:ascii="方正小标宋简体" w:hAnsi="方正小标宋简体" w:eastAsia="方正小标宋简体" w:cs="方正小标宋简体"/>
          <w:color w:val="0F1115"/>
          <w:sz w:val="44"/>
          <w:szCs w:val="44"/>
          <w:shd w:val="clear" w:color="auto" w:fill="FFFFFF"/>
        </w:rPr>
      </w:pPr>
      <w:r>
        <w:rPr>
          <w:rFonts w:ascii="仿宋_GB2312" w:hAnsi="仿宋_GB2312" w:eastAsia="仿宋_GB2312" w:cs="仿宋_GB2312"/>
          <w:color w:val="0F1115"/>
          <w:sz w:val="32"/>
          <w:szCs w:val="32"/>
          <w:shd w:val="clear" w:color="auto" w:fill="FFFFFF"/>
        </w:rPr>
        <w:br w:type="page"/>
      </w:r>
      <w:r>
        <w:rPr>
          <w:rFonts w:ascii="方正小标宋简体" w:hAnsi="方正小标宋简体" w:eastAsia="方正小标宋简体" w:cs="方正小标宋简体"/>
          <w:color w:val="0F1115"/>
          <w:sz w:val="44"/>
          <w:szCs w:val="44"/>
          <w:shd w:val="clear" w:color="auto" w:fill="FFFFFF"/>
        </w:rPr>
        <w:t>矿山连接道路维修工程沥青混合料</w:t>
      </w:r>
    </w:p>
    <w:p w14:paraId="7B266EE5">
      <w:pPr>
        <w:pStyle w:val="16"/>
        <w:widowControl/>
        <w:spacing w:line="592" w:lineRule="exact"/>
        <w:jc w:val="center"/>
        <w:rPr>
          <w:rFonts w:ascii="方正小标宋简体" w:hAnsi="方正小标宋简体" w:eastAsia="方正小标宋简体" w:cs="方正小标宋简体"/>
          <w:color w:val="0F1115"/>
          <w:sz w:val="44"/>
          <w:szCs w:val="44"/>
          <w:shd w:val="clear" w:color="auto" w:fill="FFFFFF"/>
        </w:rPr>
      </w:pPr>
      <w:r>
        <w:rPr>
          <w:rFonts w:hint="eastAsia" w:ascii="方正小标宋简体" w:hAnsi="方正小标宋简体" w:eastAsia="方正小标宋简体" w:cs="方正小标宋简体"/>
          <w:color w:val="0F1115"/>
          <w:sz w:val="44"/>
          <w:szCs w:val="44"/>
          <w:shd w:val="clear" w:color="auto" w:fill="FFFFFF"/>
        </w:rPr>
        <w:t>施工</w:t>
      </w:r>
      <w:r>
        <w:rPr>
          <w:rFonts w:ascii="方正小标宋简体" w:hAnsi="方正小标宋简体" w:eastAsia="方正小标宋简体" w:cs="方正小标宋简体"/>
          <w:color w:val="0F1115"/>
          <w:sz w:val="44"/>
          <w:szCs w:val="44"/>
          <w:shd w:val="clear" w:color="auto" w:fill="FFFFFF"/>
        </w:rPr>
        <w:t>合同</w:t>
      </w:r>
    </w:p>
    <w:p w14:paraId="1F7602EA">
      <w:pPr>
        <w:ind w:firstLine="3456" w:firstLineChars="1646"/>
      </w:pPr>
    </w:p>
    <w:p w14:paraId="4A329379">
      <w:pPr>
        <w:ind w:firstLine="3456" w:firstLineChars="1646"/>
      </w:pPr>
    </w:p>
    <w:p w14:paraId="3DDCCCB3">
      <w:pPr>
        <w:ind w:firstLine="3456" w:firstLineChars="1646"/>
      </w:pPr>
    </w:p>
    <w:p w14:paraId="4044759C">
      <w:pPr>
        <w:ind w:firstLine="3456" w:firstLineChars="1646"/>
      </w:pPr>
    </w:p>
    <w:p w14:paraId="200FD6E7">
      <w:pPr>
        <w:ind w:firstLine="3456" w:firstLineChars="1646"/>
      </w:pPr>
    </w:p>
    <w:p w14:paraId="430CB8E7">
      <w:pPr>
        <w:ind w:firstLine="3456" w:firstLineChars="1646"/>
      </w:pPr>
    </w:p>
    <w:p w14:paraId="6D729437">
      <w:pPr>
        <w:ind w:firstLine="3456" w:firstLineChars="1646"/>
      </w:pPr>
    </w:p>
    <w:p w14:paraId="699E624A">
      <w:pPr>
        <w:ind w:firstLine="3456" w:firstLineChars="1646"/>
      </w:pPr>
    </w:p>
    <w:p w14:paraId="33AEE323"/>
    <w:p w14:paraId="2B307C37">
      <w:pPr>
        <w:spacing w:line="360" w:lineRule="auto"/>
        <w:ind w:firstLine="1120" w:firstLineChars="400"/>
        <w:rPr>
          <w:rFonts w:ascii="黑体" w:eastAsia="黑体"/>
          <w:sz w:val="28"/>
          <w:szCs w:val="28"/>
        </w:rPr>
      </w:pPr>
    </w:p>
    <w:p w14:paraId="4070FEBD">
      <w:pPr>
        <w:spacing w:line="360" w:lineRule="auto"/>
        <w:ind w:firstLine="1120" w:firstLineChars="400"/>
        <w:rPr>
          <w:rFonts w:ascii="黑体" w:eastAsia="黑体"/>
          <w:sz w:val="28"/>
          <w:szCs w:val="28"/>
        </w:rPr>
      </w:pPr>
    </w:p>
    <w:p w14:paraId="13BF4EC9">
      <w:pPr>
        <w:spacing w:line="360" w:lineRule="auto"/>
        <w:ind w:firstLine="1120" w:firstLineChars="400"/>
        <w:rPr>
          <w:rFonts w:ascii="黑体" w:eastAsia="黑体"/>
          <w:sz w:val="28"/>
          <w:szCs w:val="28"/>
        </w:rPr>
      </w:pPr>
    </w:p>
    <w:p w14:paraId="4F703AA8">
      <w:pPr>
        <w:spacing w:line="360" w:lineRule="auto"/>
        <w:ind w:firstLine="1120" w:firstLineChars="400"/>
        <w:rPr>
          <w:rFonts w:ascii="黑体" w:eastAsia="黑体"/>
          <w:sz w:val="28"/>
          <w:szCs w:val="28"/>
        </w:rPr>
      </w:pPr>
    </w:p>
    <w:p w14:paraId="27CE9E61">
      <w:pPr>
        <w:spacing w:line="360" w:lineRule="auto"/>
        <w:ind w:firstLine="1120" w:firstLineChars="400"/>
        <w:rPr>
          <w:rFonts w:ascii="黑体" w:eastAsia="黑体"/>
          <w:sz w:val="28"/>
          <w:szCs w:val="28"/>
        </w:rPr>
      </w:pPr>
    </w:p>
    <w:p w14:paraId="6EA0D04D">
      <w:pPr>
        <w:spacing w:line="360" w:lineRule="auto"/>
        <w:ind w:firstLine="1120" w:firstLineChars="400"/>
        <w:rPr>
          <w:rFonts w:ascii="黑体" w:eastAsia="黑体"/>
          <w:sz w:val="28"/>
          <w:szCs w:val="28"/>
        </w:rPr>
      </w:pPr>
    </w:p>
    <w:p w14:paraId="3031FF0B">
      <w:pPr>
        <w:spacing w:line="360" w:lineRule="auto"/>
        <w:ind w:firstLine="1280" w:firstLineChars="400"/>
        <w:rPr>
          <w:rFonts w:ascii="黑体" w:eastAsia="黑体"/>
          <w:sz w:val="32"/>
          <w:szCs w:val="32"/>
          <w:u w:val="single"/>
        </w:rPr>
      </w:pPr>
      <w:r>
        <w:rPr>
          <w:rFonts w:hint="eastAsia" w:ascii="黑体" w:eastAsia="黑体"/>
          <w:sz w:val="32"/>
          <w:szCs w:val="32"/>
        </w:rPr>
        <w:t>签  订</w:t>
      </w:r>
      <w:r>
        <w:rPr>
          <w:rFonts w:ascii="黑体" w:eastAsia="黑体"/>
          <w:sz w:val="32"/>
          <w:szCs w:val="32"/>
        </w:rPr>
        <w:t xml:space="preserve">  </w:t>
      </w:r>
      <w:r>
        <w:rPr>
          <w:rFonts w:hint="eastAsia" w:ascii="黑体" w:eastAsia="黑体"/>
          <w:sz w:val="32"/>
          <w:szCs w:val="32"/>
        </w:rPr>
        <w:t>地</w:t>
      </w:r>
      <w:r>
        <w:rPr>
          <w:rFonts w:ascii="黑体" w:eastAsia="黑体"/>
          <w:sz w:val="32"/>
          <w:szCs w:val="32"/>
        </w:rPr>
        <w:t xml:space="preserve">  </w:t>
      </w:r>
      <w:r>
        <w:rPr>
          <w:rFonts w:hint="eastAsia" w:ascii="黑体" w:eastAsia="黑体"/>
          <w:sz w:val="32"/>
          <w:szCs w:val="32"/>
        </w:rPr>
        <w:t>点：济南市章丘区</w:t>
      </w:r>
    </w:p>
    <w:p w14:paraId="154E8DC7">
      <w:pPr>
        <w:spacing w:line="360" w:lineRule="auto"/>
        <w:ind w:firstLine="1280" w:firstLineChars="400"/>
        <w:rPr>
          <w:rFonts w:ascii="黑体" w:eastAsia="黑体"/>
          <w:sz w:val="32"/>
          <w:szCs w:val="32"/>
        </w:rPr>
      </w:pPr>
      <w:r>
        <w:rPr>
          <w:rFonts w:hint="eastAsia" w:ascii="黑体" w:eastAsia="黑体"/>
          <w:sz w:val="32"/>
          <w:szCs w:val="32"/>
        </w:rPr>
        <w:t>合</w:t>
      </w:r>
      <w:r>
        <w:rPr>
          <w:rFonts w:ascii="黑体" w:eastAsia="黑体"/>
          <w:sz w:val="32"/>
          <w:szCs w:val="32"/>
        </w:rPr>
        <w:t xml:space="preserve">  </w:t>
      </w:r>
      <w:r>
        <w:rPr>
          <w:rFonts w:hint="eastAsia" w:ascii="黑体" w:eastAsia="黑体"/>
          <w:sz w:val="32"/>
          <w:szCs w:val="32"/>
        </w:rPr>
        <w:t>同</w:t>
      </w:r>
      <w:r>
        <w:rPr>
          <w:rFonts w:ascii="黑体" w:eastAsia="黑体"/>
          <w:sz w:val="32"/>
          <w:szCs w:val="32"/>
        </w:rPr>
        <w:t xml:space="preserve">  </w:t>
      </w:r>
      <w:r>
        <w:rPr>
          <w:rFonts w:hint="eastAsia" w:ascii="黑体" w:eastAsia="黑体"/>
          <w:sz w:val="32"/>
          <w:szCs w:val="32"/>
        </w:rPr>
        <w:t>编</w:t>
      </w:r>
      <w:r>
        <w:rPr>
          <w:rFonts w:ascii="黑体" w:eastAsia="黑体"/>
          <w:sz w:val="32"/>
          <w:szCs w:val="32"/>
        </w:rPr>
        <w:t xml:space="preserve">  </w:t>
      </w:r>
      <w:r>
        <w:rPr>
          <w:rFonts w:hint="eastAsia" w:ascii="黑体" w:eastAsia="黑体"/>
          <w:sz w:val="32"/>
          <w:szCs w:val="32"/>
        </w:rPr>
        <w:t>号：</w:t>
      </w:r>
    </w:p>
    <w:p w14:paraId="60DC1583">
      <w:pPr>
        <w:spacing w:line="360" w:lineRule="auto"/>
        <w:ind w:firstLine="1280" w:firstLineChars="400"/>
        <w:rPr>
          <w:rFonts w:ascii="黑体" w:eastAsia="黑体"/>
          <w:sz w:val="32"/>
          <w:szCs w:val="32"/>
        </w:rPr>
      </w:pPr>
      <w:r>
        <w:rPr>
          <w:rFonts w:hint="eastAsia" w:ascii="黑体" w:eastAsia="黑体"/>
          <w:sz w:val="32"/>
          <w:szCs w:val="32"/>
        </w:rPr>
        <w:t>甲  方：</w:t>
      </w:r>
      <w:r>
        <w:rPr>
          <w:rFonts w:hint="eastAsia" w:ascii="黑体" w:eastAsia="黑体"/>
          <w:sz w:val="32"/>
          <w:szCs w:val="32"/>
          <w:u w:val="single"/>
        </w:rPr>
        <w:t>济南黄河爆破工程有限责任公司</w:t>
      </w:r>
    </w:p>
    <w:p w14:paraId="7EE2A073">
      <w:pPr>
        <w:spacing w:line="360" w:lineRule="auto"/>
        <w:ind w:firstLine="1280" w:firstLineChars="400"/>
        <w:rPr>
          <w:rFonts w:ascii="黑体" w:hAnsi="宋体" w:eastAsia="黑体" w:cs="宋体"/>
          <w:sz w:val="32"/>
          <w:szCs w:val="32"/>
          <w:u w:val="single"/>
        </w:rPr>
      </w:pPr>
      <w:r>
        <w:rPr>
          <w:rFonts w:hint="eastAsia" w:ascii="黑体" w:eastAsia="黑体"/>
          <w:sz w:val="32"/>
          <w:szCs w:val="32"/>
        </w:rPr>
        <w:t>乙  方：</w:t>
      </w:r>
    </w:p>
    <w:p w14:paraId="7622DD3A">
      <w:pPr>
        <w:ind w:right="27" w:rightChars="13" w:firstLine="1280" w:firstLineChars="400"/>
        <w:rPr>
          <w:rFonts w:ascii="黑体" w:eastAsia="黑体"/>
          <w:sz w:val="32"/>
          <w:szCs w:val="32"/>
        </w:rPr>
      </w:pPr>
      <w:r>
        <w:rPr>
          <w:rFonts w:hint="eastAsia" w:ascii="黑体" w:eastAsia="黑体"/>
          <w:sz w:val="32"/>
          <w:szCs w:val="32"/>
        </w:rPr>
        <w:t>签</w:t>
      </w:r>
      <w:r>
        <w:rPr>
          <w:rFonts w:ascii="黑体" w:eastAsia="黑体"/>
          <w:sz w:val="32"/>
          <w:szCs w:val="32"/>
        </w:rPr>
        <w:t xml:space="preserve">  </w:t>
      </w:r>
      <w:r>
        <w:rPr>
          <w:rFonts w:hint="eastAsia" w:ascii="黑体" w:eastAsia="黑体"/>
          <w:sz w:val="32"/>
          <w:szCs w:val="32"/>
        </w:rPr>
        <w:t>订</w:t>
      </w:r>
      <w:r>
        <w:rPr>
          <w:rFonts w:ascii="黑体" w:eastAsia="黑体"/>
          <w:sz w:val="32"/>
          <w:szCs w:val="32"/>
        </w:rPr>
        <w:t xml:space="preserve">  </w:t>
      </w:r>
      <w:r>
        <w:rPr>
          <w:rFonts w:hint="eastAsia" w:ascii="黑体" w:eastAsia="黑体"/>
          <w:sz w:val="32"/>
          <w:szCs w:val="32"/>
        </w:rPr>
        <w:t>日</w:t>
      </w:r>
      <w:r>
        <w:rPr>
          <w:rFonts w:ascii="黑体" w:eastAsia="黑体"/>
          <w:sz w:val="32"/>
          <w:szCs w:val="32"/>
        </w:rPr>
        <w:t xml:space="preserve">  </w:t>
      </w:r>
      <w:r>
        <w:rPr>
          <w:rFonts w:hint="eastAsia" w:ascii="黑体" w:eastAsia="黑体"/>
          <w:sz w:val="32"/>
          <w:szCs w:val="32"/>
        </w:rPr>
        <w:t>期：</w:t>
      </w:r>
      <w:r>
        <w:rPr>
          <w:rFonts w:ascii="黑体" w:eastAsia="黑体"/>
          <w:sz w:val="32"/>
          <w:szCs w:val="32"/>
        </w:rPr>
        <w:t xml:space="preserve">  </w:t>
      </w:r>
      <w:r>
        <w:rPr>
          <w:rFonts w:hint="eastAsia" w:ascii="黑体" w:eastAsia="黑体"/>
          <w:sz w:val="32"/>
          <w:szCs w:val="32"/>
        </w:rPr>
        <w:t xml:space="preserve">  年  月    日</w:t>
      </w:r>
    </w:p>
    <w:p w14:paraId="78853EE7">
      <w:pPr>
        <w:spacing w:line="360" w:lineRule="auto"/>
        <w:ind w:firstLine="1280" w:firstLineChars="400"/>
        <w:rPr>
          <w:rFonts w:ascii="黑体" w:eastAsia="黑体"/>
          <w:sz w:val="32"/>
          <w:szCs w:val="32"/>
          <w:u w:val="single"/>
        </w:rPr>
      </w:pPr>
      <w:r>
        <w:rPr>
          <w:rFonts w:hint="eastAsia" w:ascii="黑体" w:eastAsia="黑体"/>
          <w:sz w:val="32"/>
          <w:szCs w:val="32"/>
          <w:u w:val="single"/>
        </w:rPr>
        <w:t>签  订  地  点：山东省济南市章丘区</w:t>
      </w:r>
    </w:p>
    <w:p w14:paraId="7F5174FD">
      <w:pPr>
        <w:rPr>
          <w:rFonts w:ascii="仿宋_GB2312" w:hAnsi="仿宋_GB2312" w:eastAsia="仿宋_GB2312" w:cs="仿宋_GB2312"/>
          <w:color w:val="0F1115"/>
          <w:sz w:val="32"/>
          <w:szCs w:val="32"/>
          <w:shd w:val="clear" w:color="auto" w:fill="FFFFFF"/>
        </w:rPr>
      </w:pPr>
    </w:p>
    <w:p w14:paraId="343A0EB9">
      <w:pPr>
        <w:rPr>
          <w:rFonts w:ascii="仿宋_GB2312" w:hAnsi="仿宋_GB2312" w:eastAsia="仿宋_GB2312" w:cs="仿宋_GB2312"/>
          <w:color w:val="0F1115"/>
          <w:sz w:val="32"/>
          <w:szCs w:val="32"/>
          <w:shd w:val="clear" w:color="auto" w:fill="FFFFFF"/>
        </w:rPr>
      </w:pPr>
      <w:r>
        <w:rPr>
          <w:rFonts w:ascii="仿宋_GB2312" w:hAnsi="仿宋_GB2312" w:eastAsia="仿宋_GB2312" w:cs="仿宋_GB2312"/>
          <w:color w:val="0F1115"/>
          <w:sz w:val="32"/>
          <w:szCs w:val="32"/>
          <w:shd w:val="clear" w:color="auto" w:fill="FFFFFF"/>
        </w:rPr>
        <w:br w:type="page"/>
      </w:r>
    </w:p>
    <w:p w14:paraId="27AE6530">
      <w:pPr>
        <w:spacing w:line="360" w:lineRule="auto"/>
        <w:jc w:val="left"/>
        <w:rPr>
          <w:rFonts w:hint="eastAsia" w:ascii="仿宋_GB2312" w:eastAsia="仿宋_GB2312"/>
          <w:sz w:val="28"/>
          <w:szCs w:val="36"/>
        </w:rPr>
      </w:pPr>
      <w:r>
        <w:rPr>
          <w:rFonts w:hint="eastAsia" w:ascii="仿宋_GB2312" w:eastAsia="仿宋_GB2312"/>
          <w:color w:val="000000"/>
          <w:sz w:val="28"/>
        </w:rPr>
        <w:t>发包方：</w:t>
      </w:r>
      <w:r>
        <w:rPr>
          <w:rFonts w:hint="eastAsia" w:ascii="仿宋_GB2312" w:eastAsia="仿宋_GB2312"/>
          <w:color w:val="000000"/>
          <w:sz w:val="28"/>
          <w:u w:val="single"/>
        </w:rPr>
        <w:t>济南黄河爆破工程有限责任公司</w:t>
      </w:r>
      <w:r>
        <w:rPr>
          <w:rFonts w:hint="eastAsia" w:ascii="仿宋_GB2312" w:hAnsi="宋体" w:eastAsia="仿宋_GB2312"/>
          <w:color w:val="000000"/>
          <w:sz w:val="28"/>
          <w:szCs w:val="28"/>
        </w:rPr>
        <w:t>（</w:t>
      </w:r>
      <w:r>
        <w:rPr>
          <w:rFonts w:hint="eastAsia" w:ascii="仿宋_GB2312" w:eastAsia="仿宋_GB2312"/>
          <w:color w:val="000000"/>
          <w:sz w:val="28"/>
        </w:rPr>
        <w:t>简称甲方）</w:t>
      </w:r>
    </w:p>
    <w:p w14:paraId="686CBB4D">
      <w:pPr>
        <w:spacing w:line="360" w:lineRule="auto"/>
        <w:rPr>
          <w:rFonts w:hint="eastAsia" w:ascii="仿宋_GB2312" w:eastAsia="仿宋_GB2312"/>
          <w:color w:val="000000"/>
          <w:sz w:val="28"/>
        </w:rPr>
      </w:pPr>
      <w:r>
        <w:rPr>
          <w:rFonts w:hint="eastAsia" w:ascii="仿宋_GB2312" w:eastAsia="仿宋_GB2312"/>
          <w:color w:val="000000"/>
          <w:sz w:val="28"/>
        </w:rPr>
        <w:t>承包方：</w:t>
      </w:r>
      <w:r>
        <w:rPr>
          <w:rFonts w:hint="eastAsia" w:ascii="仿宋_GB2312" w:eastAsia="仿宋_GB2312"/>
          <w:color w:val="000000"/>
          <w:sz w:val="28"/>
          <w:u w:val="single"/>
        </w:rPr>
        <w:t xml:space="preserve">                            </w:t>
      </w:r>
      <w:r>
        <w:rPr>
          <w:rFonts w:hint="eastAsia" w:ascii="仿宋_GB2312" w:eastAsia="仿宋_GB2312"/>
          <w:color w:val="000000"/>
          <w:sz w:val="28"/>
        </w:rPr>
        <w:t>（简称乙方）</w:t>
      </w:r>
    </w:p>
    <w:p w14:paraId="540AFE51">
      <w:pPr>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依照《中华人民共和国民法典》及其它有关法律、行政法规，遵循平等、自愿、公平和诚实信用的原则，双方就本建设工程施工事项协商一致，订立本合同。</w:t>
      </w:r>
    </w:p>
    <w:p w14:paraId="133860F7">
      <w:pPr>
        <w:jc w:val="left"/>
        <w:rPr>
          <w:rFonts w:hint="eastAsia" w:ascii="仿宋_GB2312" w:hAnsi="宋体" w:eastAsia="仿宋_GB2312"/>
          <w:b/>
          <w:bCs/>
          <w:color w:val="000000"/>
          <w:sz w:val="28"/>
          <w:szCs w:val="28"/>
        </w:rPr>
      </w:pPr>
      <w:r>
        <w:rPr>
          <w:rFonts w:hint="eastAsia" w:ascii="仿宋_GB2312" w:hAnsi="宋体" w:eastAsia="仿宋_GB2312"/>
          <w:b/>
          <w:bCs/>
          <w:color w:val="000000"/>
          <w:sz w:val="28"/>
          <w:szCs w:val="28"/>
        </w:rPr>
        <w:t>一、工程概况</w:t>
      </w:r>
    </w:p>
    <w:p w14:paraId="6C0B4A1E">
      <w:pPr>
        <w:ind w:firstLine="560" w:firstLineChars="200"/>
        <w:jc w:val="left"/>
        <w:rPr>
          <w:rFonts w:hint="eastAsia" w:ascii="仿宋_GB2312" w:hAnsi="宋体" w:eastAsia="仿宋_GB2312"/>
          <w:color w:val="000000"/>
          <w:sz w:val="28"/>
          <w:szCs w:val="28"/>
          <w:u w:val="single"/>
        </w:rPr>
      </w:pPr>
      <w:r>
        <w:rPr>
          <w:rFonts w:hint="eastAsia" w:ascii="仿宋_GB2312" w:hAnsi="宋体" w:eastAsia="仿宋_GB2312"/>
          <w:color w:val="000000"/>
          <w:sz w:val="28"/>
          <w:szCs w:val="28"/>
        </w:rPr>
        <w:t>工程名称：</w:t>
      </w:r>
      <w:r>
        <w:rPr>
          <w:rFonts w:hint="eastAsia" w:ascii="仿宋_GB2312" w:hAnsi="宋体" w:eastAsia="仿宋_GB2312"/>
          <w:color w:val="000000"/>
          <w:sz w:val="28"/>
          <w:szCs w:val="28"/>
          <w:u w:val="single"/>
        </w:rPr>
        <w:t>矿山连接道路破损维修施工项目</w:t>
      </w:r>
    </w:p>
    <w:p w14:paraId="1B5C6A4B">
      <w:pPr>
        <w:ind w:firstLine="560" w:firstLineChars="200"/>
        <w:jc w:val="left"/>
        <w:rPr>
          <w:rFonts w:hint="eastAsia" w:ascii="仿宋_GB2312" w:hAnsi="宋体" w:eastAsia="仿宋_GB2312"/>
          <w:color w:val="000000"/>
          <w:sz w:val="28"/>
          <w:szCs w:val="28"/>
          <w:u w:val="single"/>
        </w:rPr>
      </w:pPr>
      <w:r>
        <w:rPr>
          <w:rFonts w:hint="eastAsia" w:ascii="仿宋_GB2312" w:hAnsi="宋体" w:eastAsia="仿宋_GB2312"/>
          <w:color w:val="000000"/>
          <w:sz w:val="28"/>
          <w:szCs w:val="28"/>
        </w:rPr>
        <w:t>工程地点：</w:t>
      </w:r>
      <w:r>
        <w:rPr>
          <w:rFonts w:hint="eastAsia" w:ascii="仿宋_GB2312" w:hAnsi="宋体" w:eastAsia="仿宋_GB2312"/>
          <w:color w:val="000000"/>
          <w:sz w:val="28"/>
          <w:szCs w:val="28"/>
          <w:u w:val="single"/>
        </w:rPr>
        <w:t>济南市章丘区官庄街道办事处弓角湾村。</w:t>
      </w:r>
    </w:p>
    <w:p w14:paraId="3410249A">
      <w:pPr>
        <w:ind w:firstLine="560" w:firstLineChars="200"/>
        <w:jc w:val="left"/>
        <w:rPr>
          <w:rFonts w:hint="eastAsia" w:ascii="仿宋_GB2312" w:hAnsi="宋体" w:eastAsia="仿宋_GB2312"/>
          <w:color w:val="000000"/>
          <w:sz w:val="28"/>
          <w:szCs w:val="28"/>
          <w:u w:val="single"/>
        </w:rPr>
      </w:pPr>
      <w:r>
        <w:rPr>
          <w:rFonts w:hint="eastAsia" w:ascii="仿宋_GB2312" w:hAnsi="宋体" w:eastAsia="仿宋_GB2312"/>
          <w:color w:val="000000"/>
          <w:sz w:val="28"/>
          <w:szCs w:val="28"/>
        </w:rPr>
        <w:t>工程内容：</w:t>
      </w:r>
      <w:r>
        <w:rPr>
          <w:rFonts w:hint="eastAsia" w:ascii="仿宋_GB2312" w:hAnsi="宋体" w:eastAsia="仿宋_GB2312"/>
          <w:color w:val="000000"/>
          <w:sz w:val="28"/>
          <w:szCs w:val="28"/>
          <w:u w:val="single"/>
        </w:rPr>
        <w:t>道路铣刨、水稳层铺设、沥青混凝土摊铺等施工内容，具体内容详见工程量清单。</w:t>
      </w:r>
    </w:p>
    <w:p w14:paraId="26D2CF4F">
      <w:pPr>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资金来源：自筹</w:t>
      </w:r>
    </w:p>
    <w:p w14:paraId="14873D2C">
      <w:pPr>
        <w:jc w:val="left"/>
        <w:rPr>
          <w:rFonts w:hint="eastAsia" w:ascii="仿宋_GB2312" w:hAnsi="宋体" w:eastAsia="仿宋_GB2312"/>
          <w:b/>
          <w:bCs/>
          <w:color w:val="000000"/>
          <w:sz w:val="28"/>
          <w:szCs w:val="28"/>
        </w:rPr>
      </w:pPr>
      <w:r>
        <w:rPr>
          <w:rFonts w:hint="eastAsia" w:ascii="仿宋_GB2312" w:hAnsi="宋体" w:eastAsia="仿宋_GB2312"/>
          <w:b/>
          <w:bCs/>
          <w:color w:val="000000"/>
          <w:sz w:val="28"/>
          <w:szCs w:val="28"/>
        </w:rPr>
        <w:t>二、工程承包范围</w:t>
      </w:r>
    </w:p>
    <w:p w14:paraId="41B64A49">
      <w:pPr>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承包范围：本项目工程量清单中的所有内容。</w:t>
      </w:r>
    </w:p>
    <w:p w14:paraId="55F5F848">
      <w:pPr>
        <w:jc w:val="left"/>
        <w:rPr>
          <w:rFonts w:hint="eastAsia" w:ascii="仿宋_GB2312" w:hAnsi="宋体" w:eastAsia="仿宋_GB2312"/>
          <w:b/>
          <w:bCs/>
          <w:color w:val="000000"/>
          <w:sz w:val="28"/>
          <w:szCs w:val="28"/>
        </w:rPr>
      </w:pPr>
      <w:r>
        <w:rPr>
          <w:rFonts w:hint="eastAsia" w:ascii="仿宋_GB2312" w:hAnsi="宋体" w:eastAsia="仿宋_GB2312"/>
          <w:b/>
          <w:bCs/>
          <w:color w:val="000000"/>
          <w:sz w:val="28"/>
          <w:szCs w:val="28"/>
        </w:rPr>
        <w:t>三、合同工期</w:t>
      </w:r>
    </w:p>
    <w:p w14:paraId="058C88C3">
      <w:pPr>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第一阶段（基层施工）：  年 月 日至 月 日（共 天），必须完成全部道路的水稳碎石基层的铺设与养护前工作。（材料甲供）</w:t>
      </w:r>
    </w:p>
    <w:p w14:paraId="634BB7D1">
      <w:pPr>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第二阶段（面层及附属施工）：  年 月 日至 月 日（共 天），必须完成所有铣刨及及沥青混凝土面层的摊铺、压实工作。（材料甲供）</w:t>
      </w:r>
    </w:p>
    <w:p w14:paraId="76B78D4F">
      <w:pPr>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总有效施工工期为</w:t>
      </w:r>
      <w:r>
        <w:rPr>
          <w:rFonts w:hint="eastAsia" w:ascii="仿宋_GB2312" w:hAnsi="宋体" w:eastAsia="仿宋_GB2312"/>
          <w:color w:val="000000"/>
          <w:sz w:val="28"/>
          <w:szCs w:val="28"/>
          <w:u w:val="single"/>
        </w:rPr>
        <w:t xml:space="preserve">  </w:t>
      </w:r>
      <w:r>
        <w:rPr>
          <w:rFonts w:hint="eastAsia" w:ascii="仿宋_GB2312" w:hAnsi="宋体" w:eastAsia="仿宋_GB2312"/>
          <w:color w:val="000000"/>
          <w:sz w:val="28"/>
          <w:szCs w:val="28"/>
        </w:rPr>
        <w:t>个日历日（具体日期见上）。中间间隔期为水稳层必要的养护期及春节假期，承包人应做好施工组织，确保在 年 月 日前全面完工并通车试行。</w:t>
      </w:r>
    </w:p>
    <w:p w14:paraId="6F2A9D14">
      <w:pPr>
        <w:jc w:val="left"/>
        <w:rPr>
          <w:rFonts w:hint="eastAsia" w:ascii="仿宋_GB2312" w:hAnsi="宋体" w:eastAsia="仿宋_GB2312"/>
          <w:b/>
          <w:bCs/>
          <w:color w:val="000000"/>
          <w:sz w:val="28"/>
          <w:szCs w:val="28"/>
        </w:rPr>
      </w:pPr>
      <w:r>
        <w:rPr>
          <w:rFonts w:hint="eastAsia" w:ascii="仿宋_GB2312" w:hAnsi="宋体" w:eastAsia="仿宋_GB2312"/>
          <w:b/>
          <w:bCs/>
          <w:color w:val="000000"/>
          <w:sz w:val="28"/>
          <w:szCs w:val="28"/>
        </w:rPr>
        <w:t>四、质量标准</w:t>
      </w:r>
    </w:p>
    <w:p w14:paraId="00BB37C3">
      <w:pPr>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工程质量标准：达到合格标准，符合现行国家有关工程施工验收规范和标准要求。</w:t>
      </w:r>
    </w:p>
    <w:p w14:paraId="7D5EBC56">
      <w:pPr>
        <w:jc w:val="left"/>
        <w:rPr>
          <w:rFonts w:hint="eastAsia" w:ascii="仿宋_GB2312" w:hAnsi="宋体" w:eastAsia="仿宋_GB2312"/>
          <w:b/>
          <w:bCs/>
          <w:color w:val="000000"/>
          <w:sz w:val="28"/>
          <w:szCs w:val="28"/>
        </w:rPr>
      </w:pPr>
      <w:r>
        <w:rPr>
          <w:rFonts w:hint="eastAsia" w:ascii="仿宋_GB2312" w:hAnsi="宋体" w:eastAsia="仿宋_GB2312"/>
          <w:b/>
          <w:bCs/>
          <w:color w:val="000000"/>
          <w:sz w:val="28"/>
          <w:szCs w:val="28"/>
        </w:rPr>
        <w:t>五、合同形式</w:t>
      </w:r>
    </w:p>
    <w:p w14:paraId="7FB5123C">
      <w:pPr>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本合同采用全费用综合单价包干、总价封顶合同形式。</w:t>
      </w:r>
    </w:p>
    <w:p w14:paraId="758063E0">
      <w:pPr>
        <w:spacing w:line="480" w:lineRule="auto"/>
        <w:jc w:val="left"/>
        <w:rPr>
          <w:rFonts w:hint="eastAsia" w:ascii="仿宋_GB2312" w:eastAsia="仿宋_GB2312"/>
          <w:b/>
          <w:color w:val="000000"/>
          <w:sz w:val="28"/>
        </w:rPr>
      </w:pPr>
      <w:r>
        <w:rPr>
          <w:rFonts w:hint="eastAsia" w:ascii="仿宋_GB2312" w:eastAsia="仿宋_GB2312"/>
          <w:b/>
          <w:color w:val="000000"/>
          <w:sz w:val="28"/>
        </w:rPr>
        <w:t>六、承包方式：</w:t>
      </w:r>
    </w:p>
    <w:p w14:paraId="4ACEFAA7">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1、本工程项目所使用的施工材料由甲方负责采购并承担相应费用。</w:t>
      </w:r>
    </w:p>
    <w:p w14:paraId="0172B522">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2、承包方供应的设备和配件，都必须符合设计要求和国家规定的技术标准。不合格的材料承包方不能用于施工。材料进场后，通知发包方使用单位进行验收，承包方同时提供施工材料相应的合格证、说明书。</w:t>
      </w:r>
    </w:p>
    <w:p w14:paraId="289B9260">
      <w:pPr>
        <w:spacing w:line="480" w:lineRule="auto"/>
        <w:jc w:val="left"/>
        <w:rPr>
          <w:rFonts w:hint="eastAsia" w:ascii="仿宋_GB2312" w:eastAsia="仿宋_GB2312"/>
          <w:b/>
          <w:color w:val="000000"/>
          <w:sz w:val="28"/>
        </w:rPr>
      </w:pPr>
      <w:r>
        <w:rPr>
          <w:rFonts w:hint="eastAsia" w:ascii="仿宋_GB2312" w:eastAsia="仿宋_GB2312"/>
          <w:b/>
          <w:color w:val="000000"/>
          <w:sz w:val="28"/>
        </w:rPr>
        <w:t>七、项目变更：</w:t>
      </w:r>
    </w:p>
    <w:p w14:paraId="734B291E">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本工程施工方案确定后，原则上不准变更。</w:t>
      </w:r>
    </w:p>
    <w:p w14:paraId="25754ABD">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施工过程中，承包方如发现现场情况与施工方案不符达不到要求的，不得私自变更，应书面通知发包方，经发包方确认后办理变更手续，再具体实施。承包方未经发包方同意私自变更并施工的，发包方不予结算。</w:t>
      </w:r>
    </w:p>
    <w:p w14:paraId="1FC10702">
      <w:pPr>
        <w:spacing w:line="480" w:lineRule="auto"/>
        <w:ind w:firstLine="141" w:firstLineChars="50"/>
        <w:jc w:val="left"/>
        <w:rPr>
          <w:rFonts w:hint="eastAsia" w:ascii="仿宋_GB2312" w:eastAsia="仿宋_GB2312"/>
          <w:b/>
          <w:color w:val="000000"/>
          <w:sz w:val="28"/>
        </w:rPr>
      </w:pPr>
      <w:r>
        <w:rPr>
          <w:rFonts w:hint="eastAsia" w:ascii="仿宋_GB2312" w:eastAsia="仿宋_GB2312"/>
          <w:b/>
          <w:color w:val="000000"/>
          <w:sz w:val="28"/>
        </w:rPr>
        <w:t>八、合同价款：</w:t>
      </w:r>
    </w:p>
    <w:p w14:paraId="4B36A31B">
      <w:pPr>
        <w:ind w:firstLine="572" w:firstLineChars="200"/>
        <w:jc w:val="left"/>
        <w:rPr>
          <w:rFonts w:hint="eastAsia" w:ascii="仿宋_GB2312" w:hAnsi="宋体" w:eastAsia="仿宋_GB2312"/>
          <w:spacing w:val="3"/>
          <w:sz w:val="28"/>
          <w:szCs w:val="28"/>
        </w:rPr>
      </w:pPr>
      <w:r>
        <w:rPr>
          <w:rFonts w:hint="eastAsia" w:ascii="仿宋_GB2312" w:hAnsi="宋体" w:eastAsia="仿宋_GB2312"/>
          <w:spacing w:val="3"/>
          <w:sz w:val="28"/>
          <w:szCs w:val="28"/>
        </w:rPr>
        <w:t>本施工项目合同价款采用总价封顶，暂定合同额为</w:t>
      </w:r>
      <w:r>
        <w:rPr>
          <w:rFonts w:hint="eastAsia" w:ascii="仿宋_GB2312" w:hAnsi="宋体" w:eastAsia="仿宋_GB2312"/>
          <w:spacing w:val="3"/>
          <w:sz w:val="28"/>
          <w:szCs w:val="28"/>
          <w:u w:val="single"/>
        </w:rPr>
        <w:t xml:space="preserve">:     </w:t>
      </w:r>
      <w:r>
        <w:rPr>
          <w:rFonts w:hint="eastAsia" w:ascii="仿宋_GB2312" w:hAnsi="宋体" w:eastAsia="仿宋_GB2312"/>
          <w:spacing w:val="3"/>
          <w:sz w:val="28"/>
          <w:szCs w:val="28"/>
        </w:rPr>
        <w:t>万元（大写：</w:t>
      </w:r>
      <w:r>
        <w:rPr>
          <w:rFonts w:hint="eastAsia" w:ascii="仿宋_GB2312" w:hAnsi="宋体" w:eastAsia="仿宋_GB2312"/>
          <w:spacing w:val="3"/>
          <w:sz w:val="28"/>
          <w:szCs w:val="28"/>
          <w:u w:val="single"/>
        </w:rPr>
        <w:t xml:space="preserve">      </w:t>
      </w:r>
      <w:r>
        <w:rPr>
          <w:rFonts w:hint="eastAsia" w:ascii="仿宋_GB2312" w:hAnsi="宋体" w:eastAsia="仿宋_GB2312"/>
          <w:spacing w:val="3"/>
          <w:sz w:val="28"/>
          <w:szCs w:val="28"/>
        </w:rPr>
        <w:t>）（含税9%）。</w:t>
      </w:r>
    </w:p>
    <w:p w14:paraId="0A1C1250">
      <w:pPr>
        <w:spacing w:line="480" w:lineRule="auto"/>
        <w:ind w:firstLine="141" w:firstLineChars="50"/>
        <w:jc w:val="left"/>
        <w:rPr>
          <w:rFonts w:hint="eastAsia" w:ascii="仿宋_GB2312" w:eastAsia="仿宋_GB2312"/>
          <w:b/>
          <w:color w:val="000000"/>
          <w:sz w:val="28"/>
        </w:rPr>
      </w:pPr>
      <w:r>
        <w:rPr>
          <w:rFonts w:hint="eastAsia" w:ascii="仿宋_GB2312" w:eastAsia="仿宋_GB2312"/>
          <w:b/>
          <w:color w:val="000000"/>
          <w:sz w:val="28"/>
        </w:rPr>
        <w:t>九、结算及付款方式：</w:t>
      </w:r>
    </w:p>
    <w:p w14:paraId="569225CF">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仿宋_GB2312" w:hAnsi="宋体" w:eastAsia="仿宋_GB2312"/>
          <w:spacing w:val="3"/>
          <w:sz w:val="28"/>
          <w:szCs w:val="28"/>
        </w:rPr>
      </w:pPr>
      <w:r>
        <w:rPr>
          <w:rFonts w:hint="eastAsia" w:ascii="仿宋_GB2312" w:hAnsi="宋体" w:eastAsia="仿宋_GB2312"/>
          <w:spacing w:val="3"/>
          <w:sz w:val="28"/>
          <w:szCs w:val="28"/>
        </w:rPr>
        <w:t>1、编制依据及组价标准：《GB50500-2013建设（安装）工程工程量清单计价规范》、《山东省建筑（安装）工程消耗量定额》《山东省建设工程费用组成及计算规则》及当期其他有关政府强制性文件要求（如遇相应标准更新，执行新标准，作为结算编制依据及组价标准）。</w:t>
      </w:r>
    </w:p>
    <w:p w14:paraId="2CEE026C">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仿宋_GB2312" w:hAnsi="宋体" w:eastAsia="仿宋_GB2312"/>
          <w:spacing w:val="3"/>
          <w:sz w:val="28"/>
          <w:szCs w:val="28"/>
        </w:rPr>
      </w:pPr>
      <w:r>
        <w:rPr>
          <w:rFonts w:hint="eastAsia" w:ascii="仿宋_GB2312" w:hAnsi="宋体" w:eastAsia="仿宋_GB2312"/>
          <w:spacing w:val="3"/>
          <w:sz w:val="28"/>
          <w:szCs w:val="28"/>
        </w:rPr>
        <w:t>2、结算依据：承包方施工完毕，须经发包方验收合格并出具《竣工验收报告》后，双方依据合同约定的单价、已确认的工程量和《竣工验收报告》办理竣工结算手续，共同确认最终的结算总价。</w:t>
      </w:r>
    </w:p>
    <w:p w14:paraId="311A59E6">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仿宋_GB2312" w:hAnsi="宋体" w:eastAsia="仿宋_GB2312"/>
          <w:spacing w:val="3"/>
          <w:sz w:val="28"/>
          <w:szCs w:val="28"/>
        </w:rPr>
      </w:pPr>
      <w:r>
        <w:rPr>
          <w:rFonts w:hint="eastAsia" w:ascii="仿宋_GB2312" w:hAnsi="宋体" w:eastAsia="仿宋_GB2312"/>
          <w:spacing w:val="3"/>
          <w:sz w:val="28"/>
          <w:szCs w:val="28"/>
        </w:rPr>
        <w:t>3、付款流程：</w:t>
      </w:r>
    </w:p>
    <w:p w14:paraId="67B9BF17">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仿宋_GB2312" w:hAnsi="宋体" w:eastAsia="仿宋_GB2312"/>
          <w:spacing w:val="3"/>
          <w:sz w:val="28"/>
          <w:szCs w:val="28"/>
        </w:rPr>
      </w:pPr>
      <w:r>
        <w:rPr>
          <w:rFonts w:hint="eastAsia" w:ascii="仿宋_GB2312" w:hAnsi="宋体" w:eastAsia="仿宋_GB2312"/>
          <w:spacing w:val="3"/>
          <w:sz w:val="28"/>
          <w:szCs w:val="28"/>
        </w:rPr>
        <w:t>双方完成结算确认后，承包方须向发包方开具结算总价全额9</w:t>
      </w:r>
      <w:r>
        <w:rPr>
          <w:rFonts w:hint="eastAsia" w:ascii="仿宋_GB2312" w:hAnsi="宋体" w:eastAsia="仿宋_GB2312"/>
          <w:spacing w:val="3"/>
          <w:sz w:val="28"/>
          <w:szCs w:val="28"/>
          <w:lang w:val="en-US" w:eastAsia="zh-CN"/>
        </w:rPr>
        <w:t>5</w:t>
      </w:r>
      <w:r>
        <w:rPr>
          <w:rFonts w:hint="eastAsia" w:ascii="仿宋_GB2312" w:hAnsi="宋体" w:eastAsia="仿宋_GB2312"/>
          <w:spacing w:val="3"/>
          <w:sz w:val="28"/>
          <w:szCs w:val="28"/>
        </w:rPr>
        <w:t>%（税率为9%）的增值税专用发票。发包方于收到合法有效发票后30日内，向承包方支付至双方确认的结算总价的9</w:t>
      </w:r>
      <w:r>
        <w:rPr>
          <w:rFonts w:hint="eastAsia" w:ascii="仿宋_GB2312" w:hAnsi="宋体" w:eastAsia="仿宋_GB2312"/>
          <w:spacing w:val="3"/>
          <w:sz w:val="28"/>
          <w:szCs w:val="28"/>
          <w:lang w:val="en-US" w:eastAsia="zh-CN"/>
        </w:rPr>
        <w:t>5</w:t>
      </w:r>
      <w:r>
        <w:rPr>
          <w:rFonts w:hint="eastAsia" w:ascii="仿宋_GB2312" w:hAnsi="宋体" w:eastAsia="仿宋_GB2312"/>
          <w:spacing w:val="3"/>
          <w:sz w:val="28"/>
          <w:szCs w:val="28"/>
        </w:rPr>
        <w:t>%。</w:t>
      </w:r>
    </w:p>
    <w:p w14:paraId="35316FB0">
      <w:pPr>
        <w:widowControl/>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仿宋_GB2312" w:hAnsi="宋体" w:eastAsia="仿宋_GB2312"/>
          <w:spacing w:val="3"/>
          <w:sz w:val="28"/>
          <w:szCs w:val="28"/>
        </w:rPr>
      </w:pPr>
      <w:r>
        <w:rPr>
          <w:rFonts w:hint="eastAsia" w:ascii="仿宋_GB2312" w:hAnsi="宋体" w:eastAsia="仿宋_GB2312"/>
          <w:spacing w:val="3"/>
          <w:sz w:val="28"/>
          <w:szCs w:val="28"/>
        </w:rPr>
        <w:t>剩余</w:t>
      </w:r>
      <w:r>
        <w:rPr>
          <w:rFonts w:hint="eastAsia" w:ascii="仿宋_GB2312" w:hAnsi="宋体" w:eastAsia="仿宋_GB2312"/>
          <w:spacing w:val="3"/>
          <w:sz w:val="28"/>
          <w:szCs w:val="28"/>
          <w:lang w:val="en-US" w:eastAsia="zh-CN"/>
        </w:rPr>
        <w:t>5</w:t>
      </w:r>
      <w:r>
        <w:rPr>
          <w:rFonts w:hint="eastAsia" w:ascii="仿宋_GB2312" w:hAnsi="宋体" w:eastAsia="仿宋_GB2312"/>
          <w:spacing w:val="3"/>
          <w:sz w:val="28"/>
          <w:szCs w:val="28"/>
        </w:rPr>
        <w:t>%作为质保金，待质保期满后，承包方开具剩余款项增值税发票，发包方于收到合法有效发票后30日内完成支付。</w:t>
      </w:r>
    </w:p>
    <w:p w14:paraId="51FCE0E6">
      <w:pPr>
        <w:widowControl/>
        <w:numPr>
          <w:ilvl w:val="0"/>
          <w:numId w:val="5"/>
        </w:numPr>
        <w:tabs>
          <w:tab w:val="left" w:pos="753"/>
          <w:tab w:val="left" w:pos="1413"/>
          <w:tab w:val="left" w:pos="2073"/>
          <w:tab w:val="left" w:pos="2733"/>
          <w:tab w:val="left" w:pos="3713"/>
          <w:tab w:val="left" w:pos="4693"/>
          <w:tab w:val="left" w:pos="5593"/>
          <w:tab w:val="left" w:pos="6609"/>
          <w:tab w:val="left" w:pos="7589"/>
          <w:tab w:val="left" w:pos="8405"/>
          <w:tab w:val="left" w:pos="9221"/>
          <w:tab w:val="left" w:pos="10037"/>
          <w:tab w:val="left" w:pos="10853"/>
          <w:tab w:val="left" w:pos="11613"/>
        </w:tabs>
        <w:adjustRightInd w:val="0"/>
        <w:snapToGrid w:val="0"/>
        <w:spacing w:line="580" w:lineRule="exact"/>
        <w:ind w:firstLine="572" w:firstLineChars="200"/>
        <w:jc w:val="left"/>
        <w:rPr>
          <w:rFonts w:hint="eastAsia" w:ascii="仿宋_GB2312" w:hAnsi="宋体" w:eastAsia="仿宋_GB2312"/>
          <w:spacing w:val="3"/>
          <w:sz w:val="28"/>
          <w:szCs w:val="28"/>
        </w:rPr>
      </w:pPr>
      <w:r>
        <w:rPr>
          <w:rFonts w:hint="eastAsia" w:ascii="仿宋_GB2312" w:hAnsi="宋体" w:eastAsia="仿宋_GB2312"/>
          <w:spacing w:val="3"/>
          <w:sz w:val="28"/>
          <w:szCs w:val="28"/>
        </w:rPr>
        <w:t>支付方式：银行承兑汇票。</w:t>
      </w:r>
    </w:p>
    <w:p w14:paraId="6486D4EF">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lang w:val="en-US" w:eastAsia="zh-CN"/>
        </w:rPr>
        <w:t>5</w:t>
      </w:r>
      <w:r>
        <w:rPr>
          <w:rFonts w:hint="eastAsia" w:ascii="仿宋_GB2312" w:hAnsi="宋体" w:eastAsia="仿宋_GB2312"/>
          <w:spacing w:val="3"/>
          <w:sz w:val="28"/>
          <w:szCs w:val="28"/>
        </w:rPr>
        <w:t>、质量</w:t>
      </w:r>
      <w:r>
        <w:rPr>
          <w:rFonts w:hint="eastAsia" w:ascii="仿宋_GB2312" w:hAnsi="宋体" w:eastAsia="仿宋_GB2312"/>
          <w:spacing w:val="3"/>
          <w:sz w:val="28"/>
          <w:szCs w:val="28"/>
          <w:lang w:val="en-US" w:eastAsia="zh-CN"/>
        </w:rPr>
        <w:t>期限</w:t>
      </w:r>
      <w:r>
        <w:rPr>
          <w:rFonts w:hint="eastAsia" w:ascii="仿宋_GB2312" w:hAnsi="宋体" w:eastAsia="仿宋_GB2312"/>
          <w:spacing w:val="3"/>
          <w:sz w:val="28"/>
          <w:szCs w:val="28"/>
        </w:rPr>
        <w:t>：本工程质量缺陷修复期为</w:t>
      </w:r>
      <w:r>
        <w:rPr>
          <w:rFonts w:hint="eastAsia" w:ascii="仿宋_GB2312" w:hAnsi="宋体" w:eastAsia="仿宋_GB2312"/>
          <w:spacing w:val="3"/>
          <w:sz w:val="28"/>
          <w:szCs w:val="28"/>
          <w:lang w:val="en-US" w:eastAsia="zh-CN"/>
        </w:rPr>
        <w:t>24</w:t>
      </w:r>
      <w:r>
        <w:rPr>
          <w:rFonts w:hint="eastAsia" w:ascii="仿宋_GB2312" w:hAnsi="宋体" w:eastAsia="仿宋_GB2312"/>
          <w:spacing w:val="3"/>
          <w:sz w:val="28"/>
          <w:szCs w:val="28"/>
        </w:rPr>
        <w:t>个月，自《竣工验收报告》签署之日起计算。</w:t>
      </w:r>
    </w:p>
    <w:p w14:paraId="7769CEC9">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lang w:val="en-US" w:eastAsia="zh-CN"/>
        </w:rPr>
        <w:t>6</w:t>
      </w:r>
      <w:r>
        <w:rPr>
          <w:rFonts w:hint="eastAsia" w:ascii="仿宋_GB2312" w:hAnsi="宋体" w:eastAsia="仿宋_GB2312"/>
          <w:spacing w:val="3"/>
          <w:sz w:val="28"/>
          <w:szCs w:val="28"/>
        </w:rPr>
        <w:t>、本工程履约保证金为</w:t>
      </w:r>
      <w:r>
        <w:rPr>
          <w:rFonts w:hint="eastAsia" w:ascii="仿宋_GB2312" w:hAnsi="宋体" w:eastAsia="仿宋_GB2312"/>
          <w:spacing w:val="3"/>
          <w:sz w:val="28"/>
          <w:szCs w:val="28"/>
          <w:lang w:val="en-US" w:eastAsia="zh-CN"/>
        </w:rPr>
        <w:t>2</w:t>
      </w:r>
      <w:r>
        <w:rPr>
          <w:rFonts w:hint="eastAsia" w:ascii="仿宋_GB2312" w:hAnsi="宋体" w:eastAsia="仿宋_GB2312"/>
          <w:spacing w:val="3"/>
          <w:sz w:val="28"/>
          <w:szCs w:val="28"/>
        </w:rPr>
        <w:t>万元整，</w:t>
      </w:r>
      <w:r>
        <w:rPr>
          <w:rFonts w:hint="eastAsia" w:ascii="仿宋_GB2312" w:hAnsi="宋体" w:eastAsia="仿宋_GB2312"/>
          <w:spacing w:val="3"/>
          <w:sz w:val="28"/>
          <w:szCs w:val="28"/>
          <w:lang w:val="en-US" w:eastAsia="zh-CN"/>
        </w:rPr>
        <w:t>招</w:t>
      </w:r>
      <w:r>
        <w:rPr>
          <w:rFonts w:hint="eastAsia" w:ascii="仿宋_GB2312" w:hAnsi="宋体" w:eastAsia="仿宋_GB2312"/>
          <w:spacing w:val="3"/>
          <w:sz w:val="28"/>
          <w:szCs w:val="28"/>
        </w:rPr>
        <w:t>标人通知中标人签订合同前3日内将对应标包的合同履约保证金电汇到招标人账户，工程竣工验收合格后，履约保证金无息返还。</w:t>
      </w:r>
    </w:p>
    <w:p w14:paraId="6430A3CA">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收款账户：济南黄河爆破工程有限责任公司</w:t>
      </w:r>
    </w:p>
    <w:p w14:paraId="5D1758B5">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开户行：中国工商银行济南东郊支行</w:t>
      </w:r>
    </w:p>
    <w:p w14:paraId="6BC94539">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银行账户：1602003419201075070</w:t>
      </w:r>
    </w:p>
    <w:p w14:paraId="796B4DA1">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行号：102451000344</w:t>
      </w:r>
    </w:p>
    <w:p w14:paraId="54436101">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lang w:val="en-US" w:eastAsia="zh-CN"/>
        </w:rPr>
        <w:t>7</w:t>
      </w:r>
      <w:r>
        <w:rPr>
          <w:rFonts w:hint="eastAsia" w:ascii="仿宋_GB2312" w:hAnsi="宋体" w:eastAsia="仿宋_GB2312"/>
          <w:spacing w:val="3"/>
          <w:sz w:val="28"/>
          <w:szCs w:val="28"/>
        </w:rPr>
        <w:t>、施工过程中发生的承包方使用发包方水电能源费，按如下原则结算：单独设置水电表的，按实际发生数额结算，其中水费：4.2元/立方，电费：1元/度；未安装水电表的，结算时按造价金额的7‰扣除。</w:t>
      </w:r>
    </w:p>
    <w:p w14:paraId="37ED3BA1">
      <w:pPr>
        <w:spacing w:line="480" w:lineRule="auto"/>
        <w:ind w:firstLine="141" w:firstLineChars="50"/>
        <w:jc w:val="left"/>
        <w:rPr>
          <w:rFonts w:hint="eastAsia" w:ascii="仿宋_GB2312" w:eastAsia="仿宋_GB2312"/>
          <w:b/>
          <w:color w:val="000000"/>
          <w:sz w:val="28"/>
        </w:rPr>
      </w:pPr>
      <w:r>
        <w:rPr>
          <w:rFonts w:hint="eastAsia" w:ascii="仿宋_GB2312" w:eastAsia="仿宋_GB2312"/>
          <w:b/>
          <w:color w:val="000000"/>
          <w:sz w:val="28"/>
        </w:rPr>
        <w:t>十、甲乙双方的权利义务与质量验收要求</w:t>
      </w:r>
    </w:p>
    <w:p w14:paraId="23156848">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1、发包方的权利义务</w:t>
      </w:r>
    </w:p>
    <w:p w14:paraId="074E4F00">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（1）发包方派专人到现场交代施工内容及施工相关要求。</w:t>
      </w:r>
    </w:p>
    <w:p w14:paraId="6239795B">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（2）发包方按照本合同约定按时向承包方支付施工费。</w:t>
      </w:r>
    </w:p>
    <w:p w14:paraId="51F18767">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2、承包方的权利义务</w:t>
      </w:r>
    </w:p>
    <w:p w14:paraId="39E4511C">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（1）承包方负责按照发包方现场交代的所有施工内容及要求进行施工。</w:t>
      </w:r>
    </w:p>
    <w:p w14:paraId="07087F15">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（2）施工中所用机械等工具均由承包方自备并承担费用。</w:t>
      </w:r>
    </w:p>
    <w:p w14:paraId="6C000F49">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（3）在合同履行过程中，因承包方原因对发包方及第三人的人身、财产造成损害、损坏的，由承包方负责处理，承担全部赔偿及补偿责任。</w:t>
      </w:r>
    </w:p>
    <w:p w14:paraId="5957485F">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（4）承包方履行本合同必须随时强调安全作业，施工中发生的设备、人身等一切安全事故，由承包方负责处理并承担全部费用，若因此给发包方造成损失的，承包方要赔偿发包方因此受到的全部损失。</w:t>
      </w:r>
    </w:p>
    <w:p w14:paraId="0480513D">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（5）承包方在施工过程中，应采取有效措施保证周围其它设施的完好性，若其它设施有损伤，承包方负责赔偿设施损坏的全部损失。</w:t>
      </w:r>
    </w:p>
    <w:p w14:paraId="49B933C7">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3、质量及验收标准</w:t>
      </w:r>
    </w:p>
    <w:p w14:paraId="61042FFC">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（1）所有施工内容要满足</w:t>
      </w:r>
      <w:r>
        <w:rPr>
          <w:rFonts w:hint="eastAsia" w:ascii="仿宋_GB2312" w:hAnsi="宋体" w:eastAsia="仿宋_GB2312"/>
          <w:spacing w:val="3"/>
          <w:sz w:val="28"/>
          <w:szCs w:val="28"/>
          <w:lang w:val="en-US" w:eastAsia="zh-CN"/>
        </w:rPr>
        <w:t>相关规范</w:t>
      </w:r>
      <w:r>
        <w:rPr>
          <w:rFonts w:hint="eastAsia" w:ascii="仿宋_GB2312" w:hAnsi="宋体" w:eastAsia="仿宋_GB2312"/>
          <w:spacing w:val="3"/>
          <w:sz w:val="28"/>
          <w:szCs w:val="28"/>
        </w:rPr>
        <w:t>要求。</w:t>
      </w:r>
    </w:p>
    <w:p w14:paraId="78B1B674">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（2）本项目质量标准为合格质量，质量监督及验收部门为发包方有关部门，承包方应以创优良项目的要求组织施工。发包方以国家颁发的施工验收规范和质量检验评定标准等为依据，评定该项目的质量等级。</w:t>
      </w:r>
    </w:p>
    <w:p w14:paraId="143445D5">
      <w:pPr>
        <w:spacing w:line="480" w:lineRule="auto"/>
        <w:ind w:firstLine="141" w:firstLineChars="50"/>
        <w:jc w:val="left"/>
        <w:rPr>
          <w:rFonts w:hint="eastAsia" w:ascii="仿宋_GB2312" w:eastAsia="仿宋_GB2312"/>
          <w:b/>
          <w:color w:val="0000FF"/>
          <w:sz w:val="28"/>
        </w:rPr>
      </w:pPr>
      <w:r>
        <w:rPr>
          <w:rFonts w:hint="eastAsia" w:ascii="仿宋_GB2312" w:eastAsia="仿宋_GB2312"/>
          <w:b/>
          <w:color w:val="000000"/>
          <w:sz w:val="28"/>
        </w:rPr>
        <w:t>十一、安全环保条款</w:t>
      </w:r>
    </w:p>
    <w:p w14:paraId="3467B34D">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1、承包方应遵守国家法律法规，承包方负责现场监护，随时接受发包方安全环保检查人员的监督检查。</w:t>
      </w:r>
    </w:p>
    <w:p w14:paraId="09567049">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2、承包方开工前应开展危险源辨识，并制订安全措施，将措施及落实情况报发包方。</w:t>
      </w:r>
    </w:p>
    <w:p w14:paraId="541E55CB">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3、承包方开工前应制定防止和减少粉尘、噪声、污水等污染环境的有效措施，报发包方。</w:t>
      </w:r>
    </w:p>
    <w:p w14:paraId="2ACE2C35">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4、承包方出现安全、环境问题应接受发包方安全环保部门的审查处理。发生重大伤亡事故及其它安全事故，承包方应立即通知发包方项目施工管理人员并按照有关规定上报有关部门，同时按政府有关部门规定接受处理。承包方造成的安全、环保事故及行政处罚，承包方应对此承担全部责任及全部费用并赔偿发包方因此受到的全部损失。</w:t>
      </w:r>
    </w:p>
    <w:p w14:paraId="4282B077">
      <w:pPr>
        <w:adjustRightInd w:val="0"/>
        <w:snapToGrid w:val="0"/>
        <w:spacing w:line="508" w:lineRule="exact"/>
        <w:ind w:firstLine="572" w:firstLineChars="200"/>
        <w:rPr>
          <w:rFonts w:hint="eastAsia" w:ascii="仿宋_GB2312" w:hAnsi="宋体" w:eastAsia="仿宋_GB2312"/>
          <w:spacing w:val="3"/>
          <w:sz w:val="28"/>
          <w:szCs w:val="28"/>
        </w:rPr>
      </w:pPr>
      <w:r>
        <w:rPr>
          <w:rFonts w:hint="eastAsia" w:ascii="仿宋_GB2312" w:hAnsi="宋体" w:eastAsia="仿宋_GB2312"/>
          <w:spacing w:val="3"/>
          <w:sz w:val="28"/>
          <w:szCs w:val="28"/>
        </w:rPr>
        <w:t>5、承包方履行本合同必须随时强调安全作业，施工中发生的设备、人身等一切安全事故，由承包方负责处理并承担全部费用，若因此给发包方造成损失的，承包方要赔偿发包方因此受到的全部损失。</w:t>
      </w:r>
    </w:p>
    <w:p w14:paraId="7C0A0371">
      <w:pPr>
        <w:jc w:val="left"/>
        <w:rPr>
          <w:rFonts w:hint="eastAsia" w:ascii="仿宋_GB2312" w:eastAsia="仿宋_GB2312"/>
          <w:b/>
          <w:color w:val="000000"/>
          <w:sz w:val="28"/>
          <w:szCs w:val="28"/>
        </w:rPr>
      </w:pPr>
      <w:r>
        <w:rPr>
          <w:rFonts w:hint="eastAsia" w:ascii="仿宋_GB2312" w:hAnsi="宋体" w:eastAsia="仿宋_GB2312"/>
          <w:b/>
          <w:color w:val="000000"/>
          <w:sz w:val="28"/>
          <w:szCs w:val="28"/>
        </w:rPr>
        <w:t>十二、</w:t>
      </w:r>
      <w:r>
        <w:rPr>
          <w:rFonts w:hint="eastAsia" w:ascii="仿宋_GB2312" w:hAnsi="宋体" w:eastAsia="仿宋_GB2312"/>
          <w:b/>
          <w:sz w:val="28"/>
          <w:szCs w:val="28"/>
        </w:rPr>
        <w:t>违约责任</w:t>
      </w:r>
    </w:p>
    <w:p w14:paraId="2732FDB7">
      <w:pPr>
        <w:spacing w:line="480" w:lineRule="auto"/>
        <w:ind w:firstLine="560" w:firstLineChars="200"/>
        <w:jc w:val="left"/>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rPr>
        <w:t>1、因承包方原因在合同签订后规定时间内没有办理施工相关手续，或开工后因承包方原因造成项目拖期，承包方应每日按合同额的</w:t>
      </w:r>
      <w:r>
        <w:rPr>
          <w:rFonts w:hint="eastAsia" w:ascii="仿宋_GB2312" w:hAnsi="宋体" w:eastAsia="仿宋_GB2312"/>
          <w:color w:val="000000"/>
          <w:sz w:val="28"/>
          <w:szCs w:val="28"/>
          <w:highlight w:val="none"/>
        </w:rPr>
        <w:t>千分之一的比例向发包方偿付逾期违约金，发包方有权从履约保证金及工程款中扣除。</w:t>
      </w:r>
    </w:p>
    <w:p w14:paraId="31621BD0">
      <w:pPr>
        <w:spacing w:line="480" w:lineRule="auto"/>
        <w:ind w:firstLine="560" w:firstLineChars="200"/>
        <w:jc w:val="left"/>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2、因承包方原因造成本项目拖延工期超过</w:t>
      </w:r>
      <w:r>
        <w:rPr>
          <w:rFonts w:hint="eastAsia" w:ascii="仿宋_GB2312" w:hAnsi="宋体" w:eastAsia="仿宋_GB2312"/>
          <w:color w:val="000000"/>
          <w:sz w:val="28"/>
          <w:szCs w:val="28"/>
          <w:highlight w:val="none"/>
          <w:lang w:val="en-US" w:eastAsia="zh-CN"/>
        </w:rPr>
        <w:t>2</w:t>
      </w:r>
      <w:r>
        <w:rPr>
          <w:rFonts w:hint="eastAsia" w:ascii="仿宋_GB2312" w:hAnsi="宋体" w:eastAsia="仿宋_GB2312"/>
          <w:color w:val="000000"/>
          <w:sz w:val="28"/>
          <w:szCs w:val="28"/>
          <w:highlight w:val="none"/>
        </w:rPr>
        <w:t>天的，发包方有权解除合同，另选施工队伍，承包方应支付包干合同额的20%的违约金。</w:t>
      </w:r>
    </w:p>
    <w:p w14:paraId="2DF27303">
      <w:pPr>
        <w:spacing w:line="48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3、协议履行期间因承包方违反本协议项下安全管理义务而发生安全事故的，承包方应依法承担全部责任。若因此给发包方或任何第三方造成损失（包括但不限于人身损害、财产损失、停工损失、行政处罚、律师费、诉讼费等），承包方应承担全部赔偿责任。</w:t>
      </w:r>
    </w:p>
    <w:p w14:paraId="5FADBE42">
      <w:pPr>
        <w:spacing w:line="48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4、若发包方无正当理由，未按本合同约定的付款期限支付工程进度款或结算款，每逾期一日，应按逾期支付金额的 万分之三 向承包方支付违约金，最高不超过合同价的</w:t>
      </w:r>
      <w:r>
        <w:rPr>
          <w:rFonts w:hint="eastAsia" w:ascii="仿宋_GB2312" w:hAnsi="宋体" w:eastAsia="仿宋_GB2312"/>
          <w:color w:val="000000"/>
          <w:sz w:val="28"/>
          <w:szCs w:val="28"/>
          <w:lang w:val="en-US" w:eastAsia="zh-CN"/>
        </w:rPr>
        <w:t>2</w:t>
      </w:r>
      <w:r>
        <w:rPr>
          <w:rFonts w:hint="eastAsia" w:ascii="仿宋_GB2312" w:hAnsi="宋体" w:eastAsia="仿宋_GB2312"/>
          <w:color w:val="000000"/>
          <w:sz w:val="28"/>
          <w:szCs w:val="28"/>
        </w:rPr>
        <w:t>0%。</w:t>
      </w:r>
    </w:p>
    <w:p w14:paraId="1FD1B577">
      <w:pPr>
        <w:spacing w:line="480" w:lineRule="auto"/>
        <w:ind w:firstLine="560" w:firstLineChars="200"/>
        <w:jc w:val="left"/>
        <w:rPr>
          <w:rFonts w:hint="eastAsia" w:ascii="仿宋_GB2312" w:hAnsi="宋体" w:eastAsia="仿宋_GB2312"/>
          <w:color w:val="000000"/>
          <w:sz w:val="28"/>
          <w:szCs w:val="28"/>
        </w:rPr>
      </w:pPr>
      <w:r>
        <w:rPr>
          <w:rFonts w:hint="eastAsia" w:ascii="仿宋_GB2312" w:hAnsi="宋体" w:eastAsia="仿宋_GB2312"/>
          <w:color w:val="000000"/>
          <w:sz w:val="28"/>
          <w:szCs w:val="28"/>
        </w:rPr>
        <w:t>5、因发包方未能及时提供施工所需条件（如作业面、指定的甲供材料等）或指令错误，造成承包方工期延误或费用增加的，承包方工期相应顺延，并由发包方承担因此增加的费用。</w:t>
      </w:r>
    </w:p>
    <w:p w14:paraId="774888CE">
      <w:pPr>
        <w:spacing w:line="360" w:lineRule="auto"/>
        <w:jc w:val="left"/>
        <w:rPr>
          <w:rFonts w:hint="eastAsia" w:ascii="仿宋_GB2312" w:eastAsia="仿宋_GB2312"/>
          <w:b/>
          <w:color w:val="000000"/>
          <w:sz w:val="28"/>
          <w:szCs w:val="28"/>
        </w:rPr>
      </w:pPr>
      <w:r>
        <w:rPr>
          <w:rFonts w:hint="eastAsia" w:ascii="仿宋_GB2312" w:hAnsi="宋体" w:eastAsia="仿宋_GB2312"/>
          <w:b/>
          <w:color w:val="000000"/>
          <w:sz w:val="28"/>
          <w:szCs w:val="28"/>
        </w:rPr>
        <w:t>十一、争议解决方式</w:t>
      </w:r>
    </w:p>
    <w:p w14:paraId="34B53821">
      <w:pPr>
        <w:spacing w:line="360" w:lineRule="auto"/>
        <w:ind w:firstLine="560" w:firstLineChars="200"/>
        <w:jc w:val="left"/>
        <w:rPr>
          <w:rFonts w:hint="eastAsia" w:ascii="仿宋_GB2312" w:eastAsia="仿宋_GB2312"/>
          <w:color w:val="000000"/>
          <w:sz w:val="28"/>
          <w:szCs w:val="28"/>
        </w:rPr>
      </w:pPr>
      <w:r>
        <w:rPr>
          <w:rFonts w:hint="eastAsia" w:ascii="仿宋_GB2312" w:hAnsi="宋体" w:eastAsia="仿宋_GB2312"/>
          <w:color w:val="000000"/>
          <w:sz w:val="28"/>
          <w:szCs w:val="28"/>
        </w:rPr>
        <w:t>因本合同发生的争议，双方先友好协商，协商不成的，向发包方所在地（章丘区）人民法院提起诉讼。</w:t>
      </w:r>
    </w:p>
    <w:p w14:paraId="2737160B">
      <w:pPr>
        <w:spacing w:line="360" w:lineRule="auto"/>
        <w:jc w:val="left"/>
        <w:rPr>
          <w:rFonts w:hint="eastAsia" w:ascii="仿宋_GB2312" w:eastAsia="仿宋_GB2312"/>
          <w:b/>
          <w:color w:val="000000"/>
          <w:sz w:val="28"/>
          <w:szCs w:val="28"/>
        </w:rPr>
      </w:pPr>
      <w:r>
        <w:rPr>
          <w:rFonts w:hint="eastAsia" w:ascii="仿宋_GB2312" w:hAnsi="宋体" w:eastAsia="仿宋_GB2312"/>
          <w:b/>
          <w:color w:val="000000"/>
          <w:sz w:val="28"/>
          <w:szCs w:val="28"/>
        </w:rPr>
        <w:t>十二、其它条款</w:t>
      </w:r>
    </w:p>
    <w:p w14:paraId="0755657D">
      <w:pPr>
        <w:spacing w:line="480" w:lineRule="exact"/>
        <w:ind w:firstLine="560" w:firstLineChars="200"/>
        <w:rPr>
          <w:rFonts w:hint="eastAsia" w:ascii="仿宋_GB2312" w:hAnsi="宋体" w:eastAsia="仿宋_GB2312"/>
          <w:color w:val="000000"/>
          <w:sz w:val="28"/>
          <w:szCs w:val="28"/>
          <w:u w:val="single"/>
        </w:rPr>
      </w:pPr>
      <w:r>
        <w:rPr>
          <w:rFonts w:hint="eastAsia" w:ascii="仿宋_GB2312" w:hAnsi="宋体" w:eastAsia="仿宋_GB2312"/>
          <w:color w:val="000000"/>
          <w:sz w:val="28"/>
          <w:szCs w:val="28"/>
        </w:rPr>
        <w:t>1、本工程发包方管理部门为项目部，发包方委派工程项目负责人为</w:t>
      </w:r>
      <w:r>
        <w:rPr>
          <w:rFonts w:hint="eastAsia" w:ascii="仿宋_GB2312" w:hAnsi="宋体" w:eastAsia="仿宋_GB2312"/>
          <w:color w:val="000000"/>
          <w:sz w:val="28"/>
          <w:szCs w:val="28"/>
          <w:u w:val="single"/>
        </w:rPr>
        <w:t xml:space="preserve">        </w:t>
      </w:r>
      <w:r>
        <w:rPr>
          <w:rFonts w:hint="eastAsia" w:ascii="仿宋_GB2312" w:hAnsi="宋体" w:eastAsia="仿宋_GB2312"/>
          <w:color w:val="000000"/>
          <w:sz w:val="28"/>
          <w:szCs w:val="28"/>
        </w:rPr>
        <w:t>；承包方委派项目负责人为</w:t>
      </w:r>
      <w:r>
        <w:rPr>
          <w:rFonts w:hint="eastAsia" w:ascii="仿宋_GB2312" w:hAnsi="宋体" w:eastAsia="仿宋_GB2312"/>
          <w:color w:val="000000"/>
          <w:sz w:val="28"/>
          <w:szCs w:val="28"/>
          <w:u w:val="single"/>
        </w:rPr>
        <w:t xml:space="preserve">           </w:t>
      </w:r>
    </w:p>
    <w:p w14:paraId="72231671">
      <w:pPr>
        <w:pStyle w:val="29"/>
        <w:spacing w:line="480" w:lineRule="atLeast"/>
        <w:ind w:firstLine="560" w:firstLineChars="200"/>
        <w:rPr>
          <w:rFonts w:hint="eastAsia" w:ascii="仿宋_GB2312" w:hAnsi="宋体" w:eastAsia="仿宋_GB2312"/>
          <w:color w:val="000000"/>
          <w:kern w:val="2"/>
          <w:sz w:val="28"/>
          <w:szCs w:val="28"/>
        </w:rPr>
      </w:pPr>
      <w:r>
        <w:rPr>
          <w:rFonts w:hint="eastAsia" w:ascii="仿宋_GB2312" w:hAnsi="宋体" w:eastAsia="仿宋_GB2312"/>
          <w:color w:val="000000"/>
          <w:kern w:val="2"/>
          <w:sz w:val="28"/>
          <w:szCs w:val="28"/>
        </w:rPr>
        <w:t>2、本合同承包方不得转包或分包，否则，发包方有权解除合同，另择队伍，并追究承包方违约责任及给发包方造成的损失。</w:t>
      </w:r>
    </w:p>
    <w:p w14:paraId="4720E96E">
      <w:pPr>
        <w:pStyle w:val="29"/>
        <w:spacing w:line="480" w:lineRule="atLeast"/>
        <w:ind w:firstLine="570"/>
        <w:rPr>
          <w:rFonts w:hint="eastAsia" w:ascii="仿宋_GB2312" w:hAnsi="宋体" w:eastAsia="仿宋_GB2312"/>
          <w:color w:val="000000"/>
          <w:kern w:val="2"/>
          <w:sz w:val="28"/>
          <w:szCs w:val="28"/>
        </w:rPr>
      </w:pPr>
      <w:r>
        <w:rPr>
          <w:rFonts w:hint="eastAsia" w:ascii="仿宋_GB2312" w:hAnsi="宋体" w:eastAsia="仿宋_GB2312"/>
          <w:color w:val="000000"/>
          <w:kern w:val="2"/>
          <w:sz w:val="28"/>
          <w:szCs w:val="28"/>
        </w:rPr>
        <w:t>3、本工程的招投标文件和施工过程中的会议纪要、补充协议、双方洽谈的变更记录及发包方的有关规定等均作为本合同有效组成部分，但涉及报价与最终合同签订价有差异的地方，以本合同为准。</w:t>
      </w:r>
    </w:p>
    <w:p w14:paraId="54A80EE1">
      <w:pPr>
        <w:spacing w:line="360" w:lineRule="auto"/>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4、本合同一式陆份，发包方执肆份，承包方执贰份。自双方法定代表人或其授权的委托代理人签字并盖章之日起生效。</w:t>
      </w:r>
    </w:p>
    <w:p w14:paraId="6871BBB7">
      <w:pPr>
        <w:widowControl/>
        <w:jc w:val="left"/>
        <w:rPr>
          <w:rFonts w:hint="eastAsia" w:ascii="仿宋_GB2312" w:hAnsi="Times New Roman" w:eastAsia="仿宋_GB2312"/>
          <w:b/>
          <w:color w:val="000000"/>
        </w:rPr>
      </w:pPr>
    </w:p>
    <w:p w14:paraId="793F5277">
      <w:pPr>
        <w:spacing w:line="300" w:lineRule="auto"/>
        <w:rPr>
          <w:rFonts w:hint="eastAsia" w:ascii="仿宋_GB2312" w:hAnsi="Times New Roman" w:eastAsia="仿宋_GB2312"/>
          <w:b/>
          <w:color w:val="000000"/>
        </w:rPr>
      </w:pPr>
    </w:p>
    <w:tbl>
      <w:tblPr>
        <w:tblStyle w:val="18"/>
        <w:tblW w:w="0" w:type="auto"/>
        <w:jc w:val="center"/>
        <w:tblLayout w:type="autofit"/>
        <w:tblCellMar>
          <w:top w:w="0" w:type="dxa"/>
          <w:left w:w="108" w:type="dxa"/>
          <w:bottom w:w="0" w:type="dxa"/>
          <w:right w:w="108" w:type="dxa"/>
        </w:tblCellMar>
      </w:tblPr>
      <w:tblGrid>
        <w:gridCol w:w="4379"/>
        <w:gridCol w:w="4239"/>
      </w:tblGrid>
      <w:tr w14:paraId="618233CA">
        <w:tblPrEx>
          <w:tblCellMar>
            <w:top w:w="0" w:type="dxa"/>
            <w:left w:w="108" w:type="dxa"/>
            <w:bottom w:w="0" w:type="dxa"/>
            <w:right w:w="108" w:type="dxa"/>
          </w:tblCellMar>
        </w:tblPrEx>
        <w:trPr>
          <w:trHeight w:val="834" w:hRule="atLeast"/>
          <w:jc w:val="center"/>
        </w:trPr>
        <w:tc>
          <w:tcPr>
            <w:tcW w:w="4672" w:type="dxa"/>
          </w:tcPr>
          <w:p w14:paraId="5999E86E">
            <w:pPr>
              <w:pStyle w:val="29"/>
              <w:spacing w:line="480" w:lineRule="atLeast"/>
              <w:rPr>
                <w:rFonts w:hint="eastAsia" w:ascii="仿宋_GB2312" w:hAnsi="宋体" w:eastAsia="仿宋_GB2312"/>
                <w:color w:val="000000"/>
                <w:kern w:val="2"/>
                <w:sz w:val="28"/>
                <w:szCs w:val="28"/>
              </w:rPr>
            </w:pPr>
            <w:r>
              <w:rPr>
                <w:rFonts w:hint="eastAsia" w:ascii="仿宋_GB2312" w:hAnsi="宋体" w:eastAsia="仿宋_GB2312"/>
                <w:color w:val="000000"/>
                <w:kern w:val="2"/>
                <w:sz w:val="28"/>
                <w:szCs w:val="28"/>
              </w:rPr>
              <w:t>发包方（公章）：济南黄河爆破工程有限责任公司</w:t>
            </w:r>
          </w:p>
        </w:tc>
        <w:tc>
          <w:tcPr>
            <w:tcW w:w="4672" w:type="dxa"/>
          </w:tcPr>
          <w:p w14:paraId="00769D6E">
            <w:pPr>
              <w:pStyle w:val="29"/>
              <w:spacing w:line="480" w:lineRule="atLeast"/>
              <w:rPr>
                <w:rFonts w:hint="eastAsia" w:ascii="仿宋_GB2312" w:hAnsi="宋体" w:eastAsia="仿宋_GB2312"/>
                <w:color w:val="000000"/>
                <w:kern w:val="2"/>
                <w:sz w:val="28"/>
                <w:szCs w:val="28"/>
              </w:rPr>
            </w:pPr>
            <w:r>
              <w:rPr>
                <w:rFonts w:hint="eastAsia" w:ascii="仿宋_GB2312" w:hAnsi="宋体" w:eastAsia="仿宋_GB2312"/>
                <w:color w:val="000000"/>
                <w:kern w:val="2"/>
                <w:sz w:val="28"/>
                <w:szCs w:val="28"/>
              </w:rPr>
              <w:t xml:space="preserve">承包方：（公章） </w:t>
            </w:r>
          </w:p>
        </w:tc>
      </w:tr>
      <w:tr w14:paraId="38B578CE">
        <w:tblPrEx>
          <w:tblCellMar>
            <w:top w:w="0" w:type="dxa"/>
            <w:left w:w="108" w:type="dxa"/>
            <w:bottom w:w="0" w:type="dxa"/>
            <w:right w:w="108" w:type="dxa"/>
          </w:tblCellMar>
        </w:tblPrEx>
        <w:trPr>
          <w:jc w:val="center"/>
        </w:trPr>
        <w:tc>
          <w:tcPr>
            <w:tcW w:w="4672" w:type="dxa"/>
          </w:tcPr>
          <w:p w14:paraId="735C356D">
            <w:pPr>
              <w:pStyle w:val="29"/>
              <w:spacing w:line="480" w:lineRule="atLeast"/>
              <w:rPr>
                <w:rFonts w:hint="eastAsia" w:ascii="仿宋_GB2312" w:hAnsi="宋体" w:eastAsia="仿宋_GB2312"/>
                <w:color w:val="000000"/>
                <w:kern w:val="2"/>
                <w:sz w:val="28"/>
                <w:szCs w:val="28"/>
              </w:rPr>
            </w:pPr>
            <w:r>
              <w:rPr>
                <w:rFonts w:hint="eastAsia" w:ascii="仿宋_GB2312" w:hAnsi="宋体" w:eastAsia="仿宋_GB2312"/>
                <w:color w:val="000000"/>
                <w:kern w:val="2"/>
                <w:sz w:val="28"/>
                <w:szCs w:val="28"/>
              </w:rPr>
              <w:t>地址：山东省济南市章丘区官庄街道青野村东</w:t>
            </w:r>
          </w:p>
        </w:tc>
        <w:tc>
          <w:tcPr>
            <w:tcW w:w="4672" w:type="dxa"/>
          </w:tcPr>
          <w:p w14:paraId="337A9288">
            <w:pPr>
              <w:pStyle w:val="29"/>
              <w:spacing w:line="480" w:lineRule="atLeast"/>
              <w:rPr>
                <w:rFonts w:hint="eastAsia" w:ascii="仿宋_GB2312" w:hAnsi="宋体" w:eastAsia="仿宋_GB2312"/>
                <w:color w:val="000000"/>
                <w:kern w:val="2"/>
                <w:sz w:val="28"/>
                <w:szCs w:val="28"/>
              </w:rPr>
            </w:pPr>
            <w:r>
              <w:rPr>
                <w:rFonts w:hint="eastAsia" w:ascii="仿宋_GB2312" w:hAnsi="宋体" w:eastAsia="仿宋_GB2312"/>
                <w:color w:val="000000"/>
                <w:kern w:val="2"/>
                <w:sz w:val="28"/>
                <w:szCs w:val="28"/>
              </w:rPr>
              <w:t xml:space="preserve">地址： </w:t>
            </w:r>
          </w:p>
          <w:p w14:paraId="00542FAC">
            <w:pPr>
              <w:pStyle w:val="29"/>
              <w:spacing w:line="480" w:lineRule="atLeast"/>
              <w:ind w:firstLine="570"/>
              <w:rPr>
                <w:rFonts w:hint="eastAsia" w:ascii="仿宋_GB2312" w:hAnsi="宋体" w:eastAsia="仿宋_GB2312"/>
                <w:color w:val="000000"/>
                <w:kern w:val="2"/>
                <w:sz w:val="28"/>
                <w:szCs w:val="28"/>
              </w:rPr>
            </w:pPr>
          </w:p>
        </w:tc>
      </w:tr>
      <w:tr w14:paraId="5FD07A5B">
        <w:tblPrEx>
          <w:tblCellMar>
            <w:top w:w="0" w:type="dxa"/>
            <w:left w:w="108" w:type="dxa"/>
            <w:bottom w:w="0" w:type="dxa"/>
            <w:right w:w="108" w:type="dxa"/>
          </w:tblCellMar>
        </w:tblPrEx>
        <w:trPr>
          <w:jc w:val="center"/>
        </w:trPr>
        <w:tc>
          <w:tcPr>
            <w:tcW w:w="4672" w:type="dxa"/>
          </w:tcPr>
          <w:p w14:paraId="24E84DD5">
            <w:pPr>
              <w:pStyle w:val="29"/>
              <w:spacing w:line="480" w:lineRule="atLeast"/>
              <w:rPr>
                <w:rFonts w:hint="eastAsia" w:ascii="仿宋_GB2312" w:hAnsi="宋体" w:eastAsia="仿宋_GB2312"/>
                <w:color w:val="000000"/>
                <w:kern w:val="2"/>
                <w:sz w:val="28"/>
                <w:szCs w:val="28"/>
              </w:rPr>
            </w:pPr>
            <w:r>
              <w:rPr>
                <w:rFonts w:hint="eastAsia" w:ascii="仿宋_GB2312" w:hAnsi="宋体" w:eastAsia="仿宋_GB2312"/>
                <w:color w:val="000000"/>
                <w:kern w:val="2"/>
                <w:sz w:val="28"/>
                <w:szCs w:val="28"/>
              </w:rPr>
              <w:t>法定代表人：（签字）</w:t>
            </w:r>
          </w:p>
          <w:p w14:paraId="7EFEA1D1">
            <w:pPr>
              <w:pStyle w:val="29"/>
              <w:spacing w:line="480" w:lineRule="atLeast"/>
              <w:ind w:firstLine="570"/>
              <w:rPr>
                <w:rFonts w:hint="eastAsia" w:ascii="仿宋_GB2312" w:hAnsi="宋体" w:eastAsia="仿宋_GB2312"/>
                <w:color w:val="000000"/>
                <w:kern w:val="2"/>
                <w:sz w:val="28"/>
                <w:szCs w:val="28"/>
              </w:rPr>
            </w:pPr>
          </w:p>
        </w:tc>
        <w:tc>
          <w:tcPr>
            <w:tcW w:w="4672" w:type="dxa"/>
          </w:tcPr>
          <w:p w14:paraId="0992CD09">
            <w:pPr>
              <w:pStyle w:val="29"/>
              <w:spacing w:line="480" w:lineRule="atLeast"/>
              <w:rPr>
                <w:rFonts w:hint="eastAsia" w:ascii="仿宋_GB2312" w:hAnsi="宋体" w:eastAsia="仿宋_GB2312"/>
                <w:color w:val="000000"/>
                <w:kern w:val="2"/>
                <w:sz w:val="28"/>
                <w:szCs w:val="28"/>
              </w:rPr>
            </w:pPr>
            <w:r>
              <w:rPr>
                <w:rFonts w:hint="eastAsia" w:ascii="仿宋_GB2312" w:hAnsi="宋体" w:eastAsia="仿宋_GB2312"/>
                <w:color w:val="000000"/>
                <w:kern w:val="2"/>
                <w:sz w:val="28"/>
                <w:szCs w:val="28"/>
              </w:rPr>
              <w:t>法定代表人：（签字）</w:t>
            </w:r>
          </w:p>
        </w:tc>
      </w:tr>
      <w:tr w14:paraId="4F41788B">
        <w:tblPrEx>
          <w:tblCellMar>
            <w:top w:w="0" w:type="dxa"/>
            <w:left w:w="108" w:type="dxa"/>
            <w:bottom w:w="0" w:type="dxa"/>
            <w:right w:w="108" w:type="dxa"/>
          </w:tblCellMar>
        </w:tblPrEx>
        <w:trPr>
          <w:jc w:val="center"/>
        </w:trPr>
        <w:tc>
          <w:tcPr>
            <w:tcW w:w="4672" w:type="dxa"/>
          </w:tcPr>
          <w:p w14:paraId="5BF2D5B7">
            <w:pPr>
              <w:pStyle w:val="29"/>
              <w:spacing w:line="480" w:lineRule="atLeast"/>
              <w:rPr>
                <w:rFonts w:hint="eastAsia" w:ascii="仿宋_GB2312" w:hAnsi="宋体" w:eastAsia="仿宋_GB2312"/>
                <w:color w:val="000000"/>
                <w:kern w:val="2"/>
                <w:sz w:val="28"/>
                <w:szCs w:val="28"/>
              </w:rPr>
            </w:pPr>
            <w:r>
              <w:rPr>
                <w:rFonts w:hint="eastAsia" w:ascii="仿宋_GB2312" w:hAnsi="宋体" w:eastAsia="仿宋_GB2312"/>
                <w:color w:val="000000"/>
                <w:kern w:val="2"/>
                <w:sz w:val="28"/>
                <w:szCs w:val="28"/>
              </w:rPr>
              <w:t>委托代理人：（签字）</w:t>
            </w:r>
          </w:p>
          <w:p w14:paraId="0DFDB376">
            <w:pPr>
              <w:pStyle w:val="29"/>
              <w:spacing w:line="480" w:lineRule="atLeast"/>
              <w:ind w:firstLine="570"/>
              <w:rPr>
                <w:rFonts w:hint="eastAsia" w:ascii="仿宋_GB2312" w:hAnsi="宋体" w:eastAsia="仿宋_GB2312"/>
                <w:color w:val="000000"/>
                <w:kern w:val="2"/>
                <w:sz w:val="28"/>
                <w:szCs w:val="28"/>
              </w:rPr>
            </w:pPr>
          </w:p>
        </w:tc>
        <w:tc>
          <w:tcPr>
            <w:tcW w:w="4672" w:type="dxa"/>
          </w:tcPr>
          <w:p w14:paraId="58DA7182">
            <w:pPr>
              <w:pStyle w:val="29"/>
              <w:spacing w:line="480" w:lineRule="atLeast"/>
              <w:rPr>
                <w:rFonts w:hint="eastAsia" w:ascii="仿宋_GB2312" w:hAnsi="宋体" w:eastAsia="仿宋_GB2312"/>
                <w:color w:val="000000"/>
                <w:kern w:val="2"/>
                <w:sz w:val="28"/>
                <w:szCs w:val="28"/>
              </w:rPr>
            </w:pPr>
            <w:r>
              <w:rPr>
                <w:rFonts w:hint="eastAsia" w:ascii="仿宋_GB2312" w:hAnsi="宋体" w:eastAsia="仿宋_GB2312"/>
                <w:color w:val="000000"/>
                <w:kern w:val="2"/>
                <w:sz w:val="28"/>
                <w:szCs w:val="28"/>
              </w:rPr>
              <w:t>委托代理人：（签字）</w:t>
            </w:r>
          </w:p>
        </w:tc>
      </w:tr>
      <w:tr w14:paraId="74826AC2">
        <w:tblPrEx>
          <w:tblCellMar>
            <w:top w:w="0" w:type="dxa"/>
            <w:left w:w="108" w:type="dxa"/>
            <w:bottom w:w="0" w:type="dxa"/>
            <w:right w:w="108" w:type="dxa"/>
          </w:tblCellMar>
        </w:tblPrEx>
        <w:trPr>
          <w:jc w:val="center"/>
        </w:trPr>
        <w:tc>
          <w:tcPr>
            <w:tcW w:w="4672" w:type="dxa"/>
          </w:tcPr>
          <w:p w14:paraId="1DBA510D">
            <w:pPr>
              <w:pStyle w:val="29"/>
              <w:spacing w:line="480" w:lineRule="atLeast"/>
              <w:rPr>
                <w:rFonts w:hint="eastAsia" w:ascii="仿宋_GB2312" w:hAnsi="宋体" w:eastAsia="仿宋_GB2312"/>
                <w:color w:val="000000"/>
                <w:kern w:val="2"/>
                <w:sz w:val="28"/>
                <w:szCs w:val="28"/>
              </w:rPr>
            </w:pPr>
            <w:r>
              <w:rPr>
                <w:rFonts w:hint="eastAsia" w:ascii="仿宋_GB2312" w:hAnsi="宋体" w:eastAsia="仿宋_GB2312"/>
                <w:color w:val="000000"/>
                <w:kern w:val="2"/>
                <w:sz w:val="28"/>
                <w:szCs w:val="28"/>
              </w:rPr>
              <w:t>电话：0531-83790165</w:t>
            </w:r>
          </w:p>
        </w:tc>
        <w:tc>
          <w:tcPr>
            <w:tcW w:w="4672" w:type="dxa"/>
          </w:tcPr>
          <w:p w14:paraId="0FC4306C">
            <w:pPr>
              <w:pStyle w:val="29"/>
              <w:spacing w:line="480" w:lineRule="atLeast"/>
              <w:rPr>
                <w:rFonts w:hint="eastAsia" w:ascii="仿宋_GB2312" w:hAnsi="宋体" w:eastAsia="仿宋_GB2312"/>
                <w:color w:val="000000"/>
                <w:kern w:val="2"/>
                <w:sz w:val="28"/>
                <w:szCs w:val="28"/>
              </w:rPr>
            </w:pPr>
            <w:r>
              <w:rPr>
                <w:rFonts w:hint="eastAsia" w:ascii="仿宋_GB2312" w:hAnsi="宋体" w:eastAsia="仿宋_GB2312"/>
                <w:color w:val="000000"/>
                <w:kern w:val="2"/>
                <w:sz w:val="28"/>
                <w:szCs w:val="28"/>
              </w:rPr>
              <w:t>电话：</w:t>
            </w:r>
          </w:p>
        </w:tc>
      </w:tr>
      <w:tr w14:paraId="440C7A1D">
        <w:tblPrEx>
          <w:tblCellMar>
            <w:top w:w="0" w:type="dxa"/>
            <w:left w:w="108" w:type="dxa"/>
            <w:bottom w:w="0" w:type="dxa"/>
            <w:right w:w="108" w:type="dxa"/>
          </w:tblCellMar>
        </w:tblPrEx>
        <w:trPr>
          <w:jc w:val="center"/>
        </w:trPr>
        <w:tc>
          <w:tcPr>
            <w:tcW w:w="4672" w:type="dxa"/>
          </w:tcPr>
          <w:p w14:paraId="4A469846">
            <w:pPr>
              <w:pStyle w:val="29"/>
              <w:spacing w:line="480" w:lineRule="atLeast"/>
              <w:rPr>
                <w:rFonts w:hint="eastAsia" w:ascii="仿宋_GB2312" w:hAnsi="宋体" w:eastAsia="仿宋_GB2312"/>
                <w:color w:val="000000"/>
                <w:kern w:val="2"/>
                <w:sz w:val="28"/>
                <w:szCs w:val="28"/>
              </w:rPr>
            </w:pPr>
            <w:r>
              <w:rPr>
                <w:rFonts w:hint="eastAsia" w:ascii="仿宋_GB2312" w:hAnsi="宋体" w:eastAsia="仿宋_GB2312"/>
                <w:color w:val="000000"/>
                <w:kern w:val="2"/>
                <w:sz w:val="28"/>
                <w:szCs w:val="28"/>
              </w:rPr>
              <w:t>传真：</w:t>
            </w:r>
          </w:p>
        </w:tc>
        <w:tc>
          <w:tcPr>
            <w:tcW w:w="4672" w:type="dxa"/>
          </w:tcPr>
          <w:p w14:paraId="114CA2C1">
            <w:pPr>
              <w:pStyle w:val="29"/>
              <w:spacing w:line="480" w:lineRule="atLeast"/>
              <w:rPr>
                <w:rFonts w:hint="eastAsia" w:ascii="仿宋_GB2312" w:hAnsi="宋体" w:eastAsia="仿宋_GB2312"/>
                <w:color w:val="000000"/>
                <w:kern w:val="2"/>
                <w:sz w:val="28"/>
                <w:szCs w:val="28"/>
              </w:rPr>
            </w:pPr>
            <w:r>
              <w:rPr>
                <w:rFonts w:hint="eastAsia" w:ascii="仿宋_GB2312" w:hAnsi="宋体" w:eastAsia="仿宋_GB2312"/>
                <w:color w:val="000000"/>
                <w:kern w:val="2"/>
                <w:sz w:val="28"/>
                <w:szCs w:val="28"/>
              </w:rPr>
              <w:t>传真：</w:t>
            </w:r>
          </w:p>
        </w:tc>
      </w:tr>
      <w:tr w14:paraId="4BF4C4F8">
        <w:tblPrEx>
          <w:tblCellMar>
            <w:top w:w="0" w:type="dxa"/>
            <w:left w:w="108" w:type="dxa"/>
            <w:bottom w:w="0" w:type="dxa"/>
            <w:right w:w="108" w:type="dxa"/>
          </w:tblCellMar>
        </w:tblPrEx>
        <w:trPr>
          <w:jc w:val="center"/>
        </w:trPr>
        <w:tc>
          <w:tcPr>
            <w:tcW w:w="4672" w:type="dxa"/>
          </w:tcPr>
          <w:p w14:paraId="2DB586A0">
            <w:pPr>
              <w:pStyle w:val="29"/>
              <w:spacing w:line="480" w:lineRule="atLeast"/>
              <w:rPr>
                <w:rFonts w:hint="eastAsia" w:ascii="仿宋_GB2312" w:hAnsi="宋体" w:eastAsia="仿宋_GB2312"/>
                <w:color w:val="000000"/>
                <w:kern w:val="2"/>
                <w:sz w:val="28"/>
                <w:szCs w:val="28"/>
              </w:rPr>
            </w:pPr>
            <w:r>
              <w:rPr>
                <w:rFonts w:hint="eastAsia" w:ascii="仿宋_GB2312" w:hAnsi="宋体" w:eastAsia="仿宋_GB2312"/>
                <w:color w:val="000000"/>
                <w:kern w:val="2"/>
                <w:sz w:val="28"/>
                <w:szCs w:val="28"/>
              </w:rPr>
              <w:t>开户银行：</w:t>
            </w:r>
          </w:p>
        </w:tc>
        <w:tc>
          <w:tcPr>
            <w:tcW w:w="4672" w:type="dxa"/>
          </w:tcPr>
          <w:p w14:paraId="27FA64AB">
            <w:pPr>
              <w:pStyle w:val="29"/>
              <w:spacing w:line="480" w:lineRule="atLeast"/>
              <w:rPr>
                <w:rFonts w:hint="eastAsia" w:ascii="仿宋_GB2312" w:hAnsi="宋体" w:eastAsia="仿宋_GB2312"/>
                <w:color w:val="000000"/>
                <w:kern w:val="2"/>
                <w:sz w:val="28"/>
                <w:szCs w:val="28"/>
              </w:rPr>
            </w:pPr>
            <w:r>
              <w:rPr>
                <w:rFonts w:hint="eastAsia" w:ascii="仿宋_GB2312" w:hAnsi="宋体" w:eastAsia="仿宋_GB2312"/>
                <w:color w:val="000000"/>
                <w:kern w:val="2"/>
                <w:sz w:val="28"/>
                <w:szCs w:val="28"/>
              </w:rPr>
              <w:t>开户银行：行</w:t>
            </w:r>
          </w:p>
        </w:tc>
      </w:tr>
      <w:tr w14:paraId="50D9D912">
        <w:tblPrEx>
          <w:tblCellMar>
            <w:top w:w="0" w:type="dxa"/>
            <w:left w:w="108" w:type="dxa"/>
            <w:bottom w:w="0" w:type="dxa"/>
            <w:right w:w="108" w:type="dxa"/>
          </w:tblCellMar>
        </w:tblPrEx>
        <w:trPr>
          <w:jc w:val="center"/>
        </w:trPr>
        <w:tc>
          <w:tcPr>
            <w:tcW w:w="4672" w:type="dxa"/>
          </w:tcPr>
          <w:p w14:paraId="08353790">
            <w:pPr>
              <w:pStyle w:val="29"/>
              <w:spacing w:line="480" w:lineRule="atLeast"/>
              <w:rPr>
                <w:rFonts w:hint="eastAsia" w:ascii="仿宋_GB2312" w:hAnsi="宋体" w:eastAsia="仿宋_GB2312"/>
                <w:color w:val="000000"/>
                <w:kern w:val="2"/>
                <w:sz w:val="28"/>
                <w:szCs w:val="28"/>
              </w:rPr>
            </w:pPr>
            <w:r>
              <w:rPr>
                <w:rFonts w:hint="eastAsia" w:ascii="仿宋_GB2312" w:hAnsi="宋体" w:eastAsia="仿宋_GB2312"/>
                <w:color w:val="000000"/>
                <w:kern w:val="2"/>
                <w:sz w:val="28"/>
                <w:szCs w:val="28"/>
              </w:rPr>
              <w:t>帐号：</w:t>
            </w:r>
          </w:p>
        </w:tc>
        <w:tc>
          <w:tcPr>
            <w:tcW w:w="4672" w:type="dxa"/>
          </w:tcPr>
          <w:p w14:paraId="7CA13E24">
            <w:pPr>
              <w:pStyle w:val="29"/>
              <w:spacing w:line="480" w:lineRule="atLeast"/>
              <w:rPr>
                <w:rFonts w:hint="eastAsia" w:ascii="仿宋_GB2312" w:hAnsi="宋体" w:eastAsia="仿宋_GB2312"/>
                <w:color w:val="000000"/>
                <w:kern w:val="2"/>
                <w:sz w:val="28"/>
                <w:szCs w:val="28"/>
              </w:rPr>
            </w:pPr>
            <w:r>
              <w:rPr>
                <w:rFonts w:hint="eastAsia" w:ascii="仿宋_GB2312" w:hAnsi="宋体" w:eastAsia="仿宋_GB2312"/>
                <w:color w:val="000000"/>
                <w:kern w:val="2"/>
                <w:sz w:val="28"/>
                <w:szCs w:val="28"/>
              </w:rPr>
              <w:t>帐号：</w:t>
            </w:r>
          </w:p>
        </w:tc>
      </w:tr>
      <w:tr w14:paraId="5526F2BC">
        <w:tblPrEx>
          <w:tblCellMar>
            <w:top w:w="0" w:type="dxa"/>
            <w:left w:w="108" w:type="dxa"/>
            <w:bottom w:w="0" w:type="dxa"/>
            <w:right w:w="108" w:type="dxa"/>
          </w:tblCellMar>
        </w:tblPrEx>
        <w:trPr>
          <w:jc w:val="center"/>
        </w:trPr>
        <w:tc>
          <w:tcPr>
            <w:tcW w:w="4672" w:type="dxa"/>
          </w:tcPr>
          <w:p w14:paraId="50697A41">
            <w:pPr>
              <w:pStyle w:val="29"/>
              <w:spacing w:line="480" w:lineRule="atLeast"/>
              <w:rPr>
                <w:rFonts w:hint="eastAsia" w:ascii="仿宋_GB2312" w:hAnsi="宋体" w:eastAsia="仿宋_GB2312"/>
                <w:color w:val="000000"/>
                <w:kern w:val="2"/>
                <w:sz w:val="28"/>
                <w:szCs w:val="28"/>
              </w:rPr>
            </w:pPr>
            <w:r>
              <w:rPr>
                <w:rFonts w:hint="eastAsia" w:ascii="仿宋_GB2312" w:hAnsi="宋体" w:eastAsia="仿宋_GB2312"/>
                <w:color w:val="000000"/>
                <w:kern w:val="2"/>
                <w:sz w:val="28"/>
                <w:szCs w:val="28"/>
              </w:rPr>
              <w:t>邮政编码：250000</w:t>
            </w:r>
          </w:p>
        </w:tc>
        <w:tc>
          <w:tcPr>
            <w:tcW w:w="4672" w:type="dxa"/>
          </w:tcPr>
          <w:p w14:paraId="7983ECF9">
            <w:pPr>
              <w:pStyle w:val="29"/>
              <w:spacing w:line="480" w:lineRule="atLeast"/>
              <w:rPr>
                <w:rFonts w:hint="eastAsia" w:ascii="仿宋_GB2312" w:hAnsi="宋体" w:eastAsia="仿宋_GB2312"/>
                <w:color w:val="000000"/>
                <w:kern w:val="2"/>
                <w:sz w:val="28"/>
                <w:szCs w:val="28"/>
              </w:rPr>
            </w:pPr>
            <w:r>
              <w:rPr>
                <w:rFonts w:hint="eastAsia" w:ascii="仿宋_GB2312" w:hAnsi="宋体" w:eastAsia="仿宋_GB2312"/>
                <w:color w:val="000000"/>
                <w:kern w:val="2"/>
                <w:sz w:val="28"/>
                <w:szCs w:val="28"/>
              </w:rPr>
              <w:t>邮政编码：</w:t>
            </w:r>
          </w:p>
        </w:tc>
      </w:tr>
      <w:tr w14:paraId="2AD6DE34">
        <w:tblPrEx>
          <w:tblCellMar>
            <w:top w:w="0" w:type="dxa"/>
            <w:left w:w="108" w:type="dxa"/>
            <w:bottom w:w="0" w:type="dxa"/>
            <w:right w:w="108" w:type="dxa"/>
          </w:tblCellMar>
        </w:tblPrEx>
        <w:trPr>
          <w:trHeight w:val="680" w:hRule="atLeast"/>
          <w:jc w:val="center"/>
        </w:trPr>
        <w:tc>
          <w:tcPr>
            <w:tcW w:w="9344" w:type="dxa"/>
            <w:gridSpan w:val="2"/>
            <w:vAlign w:val="bottom"/>
          </w:tcPr>
          <w:p w14:paraId="564186A2">
            <w:pPr>
              <w:pStyle w:val="29"/>
              <w:spacing w:line="480" w:lineRule="atLeast"/>
              <w:ind w:firstLine="570"/>
              <w:rPr>
                <w:rFonts w:hint="eastAsia" w:ascii="仿宋_GB2312" w:hAnsi="宋体" w:eastAsia="仿宋_GB2312"/>
                <w:color w:val="000000"/>
                <w:kern w:val="2"/>
                <w:sz w:val="28"/>
                <w:szCs w:val="28"/>
              </w:rPr>
            </w:pPr>
            <w:r>
              <w:rPr>
                <w:rFonts w:hint="eastAsia" w:ascii="仿宋_GB2312" w:hAnsi="宋体" w:eastAsia="仿宋_GB2312"/>
                <w:color w:val="000000"/>
                <w:kern w:val="2"/>
                <w:sz w:val="28"/>
                <w:szCs w:val="28"/>
              </w:rPr>
              <w:t>签订时间：   年  月  日</w:t>
            </w:r>
          </w:p>
        </w:tc>
      </w:tr>
    </w:tbl>
    <w:p w14:paraId="21E33AEE">
      <w:pPr>
        <w:tabs>
          <w:tab w:val="left" w:pos="2076"/>
        </w:tabs>
        <w:rPr>
          <w:rFonts w:hint="eastAsia" w:ascii="仿宋_GB2312" w:hAnsi="宋体" w:eastAsia="仿宋_GB2312"/>
          <w:color w:val="000000"/>
          <w:sz w:val="28"/>
          <w:szCs w:val="28"/>
        </w:rPr>
      </w:pPr>
      <w:r>
        <w:rPr>
          <w:rFonts w:hint="eastAsia" w:ascii="仿宋_GB2312" w:hAnsi="宋体" w:eastAsia="仿宋_GB2312"/>
          <w:color w:val="000000"/>
          <w:sz w:val="28"/>
          <w:szCs w:val="28"/>
        </w:rPr>
        <w:t>附件1   工程量清单</w:t>
      </w:r>
    </w:p>
    <w:tbl>
      <w:tblPr>
        <w:tblStyle w:val="18"/>
        <w:tblpPr w:leftFromText="180" w:rightFromText="180" w:vertAnchor="text" w:horzAnchor="page" w:tblpX="1492" w:tblpY="53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3681"/>
        <w:gridCol w:w="670"/>
        <w:gridCol w:w="663"/>
        <w:gridCol w:w="687"/>
        <w:gridCol w:w="943"/>
        <w:gridCol w:w="1546"/>
      </w:tblGrid>
      <w:tr w14:paraId="11F6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blHeader/>
        </w:trPr>
        <w:tc>
          <w:tcPr>
            <w:tcW w:w="243" w:type="pct"/>
            <w:vAlign w:val="center"/>
          </w:tcPr>
          <w:p w14:paraId="6A311627">
            <w:pPr>
              <w:jc w:val="center"/>
              <w:rPr>
                <w:rFonts w:cs="等线"/>
                <w:sz w:val="18"/>
                <w:szCs w:val="18"/>
              </w:rPr>
            </w:pPr>
            <w:r>
              <w:rPr>
                <w:rFonts w:hint="eastAsia" w:cs="等线"/>
                <w:sz w:val="18"/>
                <w:szCs w:val="18"/>
              </w:rPr>
              <w:t>序号</w:t>
            </w:r>
          </w:p>
        </w:tc>
        <w:tc>
          <w:tcPr>
            <w:tcW w:w="2138" w:type="pct"/>
            <w:vAlign w:val="center"/>
          </w:tcPr>
          <w:p w14:paraId="1B3B4960">
            <w:pPr>
              <w:tabs>
                <w:tab w:val="left" w:pos="522"/>
              </w:tabs>
              <w:jc w:val="center"/>
              <w:rPr>
                <w:rFonts w:cs="等线"/>
                <w:sz w:val="18"/>
                <w:szCs w:val="18"/>
              </w:rPr>
            </w:pPr>
            <w:r>
              <w:rPr>
                <w:rFonts w:hint="eastAsia" w:cs="等线"/>
                <w:sz w:val="18"/>
                <w:szCs w:val="18"/>
              </w:rPr>
              <w:t>项目名称</w:t>
            </w:r>
          </w:p>
          <w:p w14:paraId="70D802A8">
            <w:pPr>
              <w:tabs>
                <w:tab w:val="left" w:pos="522"/>
              </w:tabs>
              <w:jc w:val="center"/>
              <w:rPr>
                <w:rFonts w:cs="等线"/>
                <w:sz w:val="18"/>
                <w:szCs w:val="18"/>
              </w:rPr>
            </w:pPr>
            <w:r>
              <w:rPr>
                <w:rFonts w:hint="eastAsia" w:cs="等线"/>
                <w:sz w:val="18"/>
                <w:szCs w:val="18"/>
              </w:rPr>
              <w:t>技术要求</w:t>
            </w:r>
          </w:p>
        </w:tc>
        <w:tc>
          <w:tcPr>
            <w:tcW w:w="389" w:type="pct"/>
            <w:vAlign w:val="center"/>
          </w:tcPr>
          <w:p w14:paraId="0D64E6FC">
            <w:pPr>
              <w:jc w:val="center"/>
              <w:rPr>
                <w:rFonts w:cs="等线"/>
                <w:sz w:val="18"/>
                <w:szCs w:val="18"/>
              </w:rPr>
            </w:pPr>
            <w:r>
              <w:rPr>
                <w:rFonts w:hint="eastAsia" w:cs="等线"/>
                <w:sz w:val="18"/>
                <w:szCs w:val="18"/>
              </w:rPr>
              <w:t>单位</w:t>
            </w:r>
          </w:p>
        </w:tc>
        <w:tc>
          <w:tcPr>
            <w:tcW w:w="385" w:type="pct"/>
            <w:vAlign w:val="center"/>
          </w:tcPr>
          <w:p w14:paraId="595DFDF2">
            <w:pPr>
              <w:tabs>
                <w:tab w:val="left" w:pos="522"/>
              </w:tabs>
              <w:jc w:val="center"/>
              <w:rPr>
                <w:rFonts w:cs="等线"/>
                <w:sz w:val="18"/>
                <w:szCs w:val="18"/>
              </w:rPr>
            </w:pPr>
            <w:r>
              <w:rPr>
                <w:rFonts w:hint="eastAsia" w:cs="等线"/>
                <w:sz w:val="18"/>
                <w:szCs w:val="18"/>
              </w:rPr>
              <w:t>数量</w:t>
            </w:r>
          </w:p>
        </w:tc>
        <w:tc>
          <w:tcPr>
            <w:tcW w:w="399" w:type="pct"/>
            <w:vAlign w:val="center"/>
          </w:tcPr>
          <w:p w14:paraId="2A1E21B6">
            <w:pPr>
              <w:tabs>
                <w:tab w:val="left" w:pos="522"/>
              </w:tabs>
              <w:jc w:val="center"/>
              <w:rPr>
                <w:rFonts w:cs="等线"/>
                <w:sz w:val="18"/>
                <w:szCs w:val="18"/>
              </w:rPr>
            </w:pPr>
            <w:r>
              <w:rPr>
                <w:rFonts w:hint="eastAsia" w:cs="等线"/>
                <w:sz w:val="18"/>
                <w:szCs w:val="18"/>
              </w:rPr>
              <w:t>单价</w:t>
            </w:r>
          </w:p>
        </w:tc>
        <w:tc>
          <w:tcPr>
            <w:tcW w:w="548" w:type="pct"/>
            <w:vAlign w:val="center"/>
          </w:tcPr>
          <w:p w14:paraId="1998AC8D">
            <w:pPr>
              <w:tabs>
                <w:tab w:val="left" w:pos="522"/>
              </w:tabs>
              <w:jc w:val="center"/>
              <w:rPr>
                <w:rFonts w:cs="等线"/>
                <w:sz w:val="18"/>
                <w:szCs w:val="18"/>
              </w:rPr>
            </w:pPr>
            <w:r>
              <w:rPr>
                <w:rFonts w:hint="eastAsia" w:cs="等线"/>
                <w:sz w:val="18"/>
                <w:szCs w:val="18"/>
              </w:rPr>
              <w:t>总价</w:t>
            </w:r>
          </w:p>
        </w:tc>
        <w:tc>
          <w:tcPr>
            <w:tcW w:w="898" w:type="pct"/>
            <w:vAlign w:val="center"/>
          </w:tcPr>
          <w:p w14:paraId="59BD829B">
            <w:pPr>
              <w:jc w:val="center"/>
              <w:rPr>
                <w:rFonts w:cs="等线"/>
                <w:sz w:val="18"/>
                <w:szCs w:val="18"/>
              </w:rPr>
            </w:pPr>
            <w:r>
              <w:rPr>
                <w:rFonts w:hint="eastAsia" w:cs="等线"/>
                <w:sz w:val="18"/>
                <w:szCs w:val="18"/>
              </w:rPr>
              <w:t>备注</w:t>
            </w:r>
          </w:p>
        </w:tc>
      </w:tr>
      <w:tr w14:paraId="6E2E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3F4B7759">
            <w:pPr>
              <w:jc w:val="center"/>
              <w:rPr>
                <w:rFonts w:cs="等线"/>
                <w:sz w:val="18"/>
                <w:szCs w:val="18"/>
              </w:rPr>
            </w:pPr>
            <w:r>
              <w:rPr>
                <w:rFonts w:hint="eastAsia" w:cs="等线"/>
                <w:sz w:val="18"/>
                <w:szCs w:val="18"/>
              </w:rPr>
              <w:t>1</w:t>
            </w:r>
          </w:p>
        </w:tc>
        <w:tc>
          <w:tcPr>
            <w:tcW w:w="2138" w:type="pct"/>
            <w:vAlign w:val="center"/>
          </w:tcPr>
          <w:p w14:paraId="4FFEDB69">
            <w:pPr>
              <w:jc w:val="left"/>
              <w:rPr>
                <w:rFonts w:cs="等线"/>
                <w:sz w:val="18"/>
                <w:szCs w:val="18"/>
              </w:rPr>
            </w:pPr>
            <w:r>
              <w:rPr>
                <w:rFonts w:hint="eastAsia" w:cs="等线"/>
                <w:sz w:val="18"/>
                <w:szCs w:val="18"/>
              </w:rPr>
              <w:t>铣刨、清除沥青层</w:t>
            </w:r>
          </w:p>
          <w:p w14:paraId="7EFCF0CE">
            <w:pPr>
              <w:jc w:val="left"/>
              <w:rPr>
                <w:rFonts w:cs="等线"/>
                <w:sz w:val="18"/>
                <w:szCs w:val="18"/>
              </w:rPr>
            </w:pPr>
            <w:r>
              <w:rPr>
                <w:rFonts w:hint="eastAsia" w:cs="等线"/>
                <w:sz w:val="18"/>
                <w:szCs w:val="18"/>
              </w:rPr>
              <w:t>1.原沥青层14cm，铣刨深度：铣刨6cm</w:t>
            </w:r>
          </w:p>
        </w:tc>
        <w:tc>
          <w:tcPr>
            <w:tcW w:w="389" w:type="pct"/>
            <w:vAlign w:val="center"/>
          </w:tcPr>
          <w:p w14:paraId="4E9FDA4C">
            <w:pPr>
              <w:jc w:val="center"/>
              <w:rPr>
                <w:rFonts w:cs="等线"/>
                <w:sz w:val="18"/>
                <w:szCs w:val="18"/>
              </w:rPr>
            </w:pPr>
            <w:r>
              <w:rPr>
                <w:rFonts w:hint="eastAsia" w:cs="等线"/>
                <w:sz w:val="18"/>
                <w:szCs w:val="18"/>
              </w:rPr>
              <w:t>m³</w:t>
            </w:r>
          </w:p>
        </w:tc>
        <w:tc>
          <w:tcPr>
            <w:tcW w:w="385" w:type="pct"/>
            <w:vAlign w:val="center"/>
          </w:tcPr>
          <w:p w14:paraId="19FC5AD5">
            <w:pPr>
              <w:jc w:val="center"/>
              <w:rPr>
                <w:rFonts w:cs="等线"/>
                <w:sz w:val="18"/>
                <w:szCs w:val="18"/>
              </w:rPr>
            </w:pPr>
            <w:r>
              <w:rPr>
                <w:rFonts w:hint="eastAsia" w:cs="等线"/>
                <w:sz w:val="18"/>
                <w:szCs w:val="18"/>
              </w:rPr>
              <w:t>100</w:t>
            </w:r>
          </w:p>
        </w:tc>
        <w:tc>
          <w:tcPr>
            <w:tcW w:w="399" w:type="pct"/>
            <w:vAlign w:val="center"/>
          </w:tcPr>
          <w:p w14:paraId="51CE051E">
            <w:pPr>
              <w:jc w:val="center"/>
              <w:rPr>
                <w:rFonts w:cs="等线"/>
                <w:sz w:val="18"/>
                <w:szCs w:val="18"/>
              </w:rPr>
            </w:pPr>
          </w:p>
        </w:tc>
        <w:tc>
          <w:tcPr>
            <w:tcW w:w="548" w:type="pct"/>
            <w:vAlign w:val="center"/>
          </w:tcPr>
          <w:p w14:paraId="18B5206D">
            <w:pPr>
              <w:jc w:val="center"/>
              <w:rPr>
                <w:rFonts w:cs="等线"/>
                <w:sz w:val="18"/>
                <w:szCs w:val="18"/>
              </w:rPr>
            </w:pPr>
          </w:p>
        </w:tc>
        <w:tc>
          <w:tcPr>
            <w:tcW w:w="898" w:type="pct"/>
            <w:vAlign w:val="center"/>
          </w:tcPr>
          <w:p w14:paraId="10D8AA98">
            <w:pPr>
              <w:jc w:val="center"/>
              <w:rPr>
                <w:rFonts w:cs="等线"/>
                <w:sz w:val="18"/>
                <w:szCs w:val="18"/>
              </w:rPr>
            </w:pPr>
            <w:r>
              <w:rPr>
                <w:rFonts w:hint="eastAsia" w:cs="等线"/>
                <w:sz w:val="18"/>
                <w:szCs w:val="18"/>
              </w:rPr>
              <w:t>乙方负责铣刨装车，甲方负责运输。</w:t>
            </w:r>
          </w:p>
        </w:tc>
      </w:tr>
      <w:tr w14:paraId="338E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1C81F83C">
            <w:pPr>
              <w:jc w:val="center"/>
              <w:rPr>
                <w:rFonts w:cs="等线"/>
                <w:sz w:val="18"/>
                <w:szCs w:val="18"/>
              </w:rPr>
            </w:pPr>
            <w:r>
              <w:rPr>
                <w:rFonts w:hint="eastAsia" w:cs="等线"/>
                <w:sz w:val="18"/>
                <w:szCs w:val="18"/>
              </w:rPr>
              <w:t>2</w:t>
            </w:r>
          </w:p>
        </w:tc>
        <w:tc>
          <w:tcPr>
            <w:tcW w:w="2138" w:type="pct"/>
            <w:vAlign w:val="center"/>
          </w:tcPr>
          <w:p w14:paraId="7A5D2419">
            <w:pPr>
              <w:jc w:val="left"/>
              <w:rPr>
                <w:rFonts w:cs="等线"/>
                <w:sz w:val="18"/>
                <w:szCs w:val="18"/>
              </w:rPr>
            </w:pPr>
            <w:r>
              <w:rPr>
                <w:rFonts w:hint="eastAsia" w:cs="等线"/>
                <w:sz w:val="18"/>
                <w:szCs w:val="18"/>
              </w:rPr>
              <w:t>水泥稳定碎石基层18cm+18cm分层铺设</w:t>
            </w:r>
          </w:p>
          <w:p w14:paraId="40AC35C8">
            <w:pPr>
              <w:jc w:val="left"/>
              <w:rPr>
                <w:rFonts w:cs="等线"/>
                <w:sz w:val="18"/>
                <w:szCs w:val="18"/>
              </w:rPr>
            </w:pPr>
            <w:r>
              <w:rPr>
                <w:rFonts w:hint="eastAsia" w:cs="等线"/>
                <w:sz w:val="18"/>
                <w:szCs w:val="18"/>
              </w:rPr>
              <w:t>1.水稳料（甲方提供）</w:t>
            </w:r>
          </w:p>
          <w:p w14:paraId="2CE4CCB2">
            <w:pPr>
              <w:jc w:val="left"/>
              <w:rPr>
                <w:rFonts w:cs="等线"/>
                <w:sz w:val="18"/>
                <w:szCs w:val="18"/>
              </w:rPr>
            </w:pPr>
            <w:r>
              <w:rPr>
                <w:rFonts w:hint="eastAsia" w:cs="等线"/>
                <w:sz w:val="18"/>
                <w:szCs w:val="18"/>
              </w:rPr>
              <w:t>2.厚度36cm;</w:t>
            </w:r>
          </w:p>
          <w:p w14:paraId="3A79AFF9">
            <w:pPr>
              <w:jc w:val="left"/>
              <w:rPr>
                <w:rFonts w:cs="等线"/>
                <w:sz w:val="18"/>
                <w:szCs w:val="18"/>
              </w:rPr>
            </w:pPr>
            <w:r>
              <w:rPr>
                <w:rFonts w:hint="eastAsia" w:cs="等线"/>
                <w:sz w:val="18"/>
                <w:szCs w:val="18"/>
              </w:rPr>
              <w:t>3.压实度≥97%;</w:t>
            </w:r>
          </w:p>
          <w:p w14:paraId="345EDFF1">
            <w:pPr>
              <w:jc w:val="left"/>
              <w:rPr>
                <w:rFonts w:cs="等线"/>
                <w:sz w:val="18"/>
                <w:szCs w:val="18"/>
              </w:rPr>
            </w:pPr>
            <w:r>
              <w:rPr>
                <w:rFonts w:hint="eastAsia" w:cs="等线"/>
                <w:sz w:val="18"/>
                <w:szCs w:val="18"/>
              </w:rPr>
              <w:t>4.满铺玻纤格栅一层(拉力100KN)</w:t>
            </w:r>
          </w:p>
          <w:p w14:paraId="5FA6D73B">
            <w:pPr>
              <w:jc w:val="left"/>
              <w:rPr>
                <w:rFonts w:cs="等线"/>
                <w:sz w:val="18"/>
                <w:szCs w:val="18"/>
              </w:rPr>
            </w:pPr>
            <w:r>
              <w:rPr>
                <w:rFonts w:hint="eastAsia" w:cs="等线"/>
                <w:sz w:val="18"/>
                <w:szCs w:val="18"/>
              </w:rPr>
              <w:t>5.其技术要求应符合《公路路面基层施工技术细则》(JTG/T F20一2015）相关规定；</w:t>
            </w:r>
          </w:p>
          <w:p w14:paraId="1BEC2327">
            <w:pPr>
              <w:jc w:val="left"/>
              <w:rPr>
                <w:rFonts w:cs="等线"/>
                <w:sz w:val="18"/>
                <w:szCs w:val="18"/>
              </w:rPr>
            </w:pPr>
            <w:r>
              <w:rPr>
                <w:rFonts w:hint="eastAsia" w:cs="等线"/>
                <w:sz w:val="18"/>
                <w:szCs w:val="18"/>
              </w:rPr>
              <w:t>6.含第三方检验试验费等</w:t>
            </w:r>
          </w:p>
        </w:tc>
        <w:tc>
          <w:tcPr>
            <w:tcW w:w="389" w:type="pct"/>
            <w:vAlign w:val="center"/>
          </w:tcPr>
          <w:p w14:paraId="63EEDCFA">
            <w:pPr>
              <w:jc w:val="center"/>
              <w:rPr>
                <w:rFonts w:cs="等线"/>
                <w:sz w:val="18"/>
                <w:szCs w:val="18"/>
              </w:rPr>
            </w:pPr>
            <w:r>
              <w:rPr>
                <w:rFonts w:hint="eastAsia" w:cs="等线"/>
                <w:sz w:val="18"/>
                <w:szCs w:val="18"/>
              </w:rPr>
              <w:t>㎡</w:t>
            </w:r>
          </w:p>
        </w:tc>
        <w:tc>
          <w:tcPr>
            <w:tcW w:w="385" w:type="pct"/>
            <w:vAlign w:val="center"/>
          </w:tcPr>
          <w:p w14:paraId="661FDD30">
            <w:pPr>
              <w:jc w:val="center"/>
              <w:rPr>
                <w:rFonts w:cs="等线"/>
                <w:sz w:val="18"/>
                <w:szCs w:val="18"/>
              </w:rPr>
            </w:pPr>
            <w:r>
              <w:rPr>
                <w:rFonts w:hint="eastAsia" w:cs="等线"/>
                <w:sz w:val="18"/>
                <w:szCs w:val="18"/>
              </w:rPr>
              <w:t>5400</w:t>
            </w:r>
          </w:p>
        </w:tc>
        <w:tc>
          <w:tcPr>
            <w:tcW w:w="399" w:type="pct"/>
            <w:vAlign w:val="center"/>
          </w:tcPr>
          <w:p w14:paraId="684BF442">
            <w:pPr>
              <w:jc w:val="center"/>
              <w:rPr>
                <w:rFonts w:cs="等线"/>
                <w:sz w:val="18"/>
                <w:szCs w:val="18"/>
              </w:rPr>
            </w:pPr>
          </w:p>
        </w:tc>
        <w:tc>
          <w:tcPr>
            <w:tcW w:w="548" w:type="pct"/>
            <w:vAlign w:val="center"/>
          </w:tcPr>
          <w:p w14:paraId="74B22092">
            <w:pPr>
              <w:jc w:val="center"/>
              <w:rPr>
                <w:rFonts w:cs="等线"/>
                <w:sz w:val="18"/>
                <w:szCs w:val="18"/>
              </w:rPr>
            </w:pPr>
          </w:p>
        </w:tc>
        <w:tc>
          <w:tcPr>
            <w:tcW w:w="898" w:type="pct"/>
            <w:vAlign w:val="center"/>
          </w:tcPr>
          <w:p w14:paraId="66D9F1E9">
            <w:pPr>
              <w:jc w:val="center"/>
              <w:rPr>
                <w:rFonts w:cs="等线"/>
                <w:sz w:val="18"/>
                <w:szCs w:val="18"/>
              </w:rPr>
            </w:pPr>
            <w:r>
              <w:rPr>
                <w:rFonts w:hint="eastAsia" w:cs="等线"/>
                <w:sz w:val="18"/>
                <w:szCs w:val="18"/>
              </w:rPr>
              <w:t>甲方负责提供水稳料，并送到施工现场。乙方负责摊铺机、人工、压路机、玻纤格栅、保温覆盖（毛毡布规格500g）、第三方质量检验等工作。</w:t>
            </w:r>
          </w:p>
        </w:tc>
      </w:tr>
      <w:tr w14:paraId="2A0C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0B8B4625">
            <w:pPr>
              <w:jc w:val="center"/>
              <w:rPr>
                <w:rFonts w:cs="等线"/>
                <w:sz w:val="18"/>
                <w:szCs w:val="18"/>
              </w:rPr>
            </w:pPr>
            <w:r>
              <w:rPr>
                <w:rFonts w:hint="eastAsia" w:cs="等线"/>
                <w:sz w:val="18"/>
                <w:szCs w:val="18"/>
              </w:rPr>
              <w:t>3</w:t>
            </w:r>
          </w:p>
        </w:tc>
        <w:tc>
          <w:tcPr>
            <w:tcW w:w="2138" w:type="pct"/>
            <w:vAlign w:val="center"/>
          </w:tcPr>
          <w:p w14:paraId="2CE5DF6F">
            <w:pPr>
              <w:jc w:val="left"/>
              <w:rPr>
                <w:rFonts w:cs="等线"/>
                <w:sz w:val="18"/>
                <w:szCs w:val="18"/>
              </w:rPr>
            </w:pPr>
            <w:r>
              <w:rPr>
                <w:rFonts w:hint="eastAsia" w:cs="等线"/>
                <w:sz w:val="18"/>
                <w:szCs w:val="18"/>
              </w:rPr>
              <w:t>喷洒透层乳化沥青、封层乳化沥青</w:t>
            </w:r>
          </w:p>
          <w:p w14:paraId="60B6B027">
            <w:pPr>
              <w:jc w:val="left"/>
              <w:rPr>
                <w:rFonts w:cs="等线"/>
                <w:sz w:val="18"/>
                <w:szCs w:val="18"/>
              </w:rPr>
            </w:pPr>
            <w:r>
              <w:rPr>
                <w:rFonts w:hint="eastAsia" w:cs="等线"/>
                <w:sz w:val="18"/>
                <w:szCs w:val="18"/>
              </w:rPr>
              <w:t>1. 型号：高渗透型乳化沥青</w:t>
            </w:r>
          </w:p>
          <w:p w14:paraId="3CCD140F">
            <w:pPr>
              <w:jc w:val="left"/>
              <w:rPr>
                <w:rFonts w:cs="等线"/>
                <w:sz w:val="18"/>
                <w:szCs w:val="18"/>
              </w:rPr>
            </w:pPr>
            <w:r>
              <w:rPr>
                <w:rFonts w:hint="eastAsia" w:cs="等线"/>
                <w:sz w:val="18"/>
                <w:szCs w:val="18"/>
              </w:rPr>
              <w:t>2. 用量：高粘/高渗透型：0.8-1L/m²</w:t>
            </w:r>
          </w:p>
          <w:p w14:paraId="3F912806">
            <w:pPr>
              <w:jc w:val="left"/>
              <w:rPr>
                <w:rFonts w:cs="等线"/>
                <w:sz w:val="18"/>
                <w:szCs w:val="18"/>
              </w:rPr>
            </w:pPr>
            <w:r>
              <w:rPr>
                <w:rFonts w:hint="eastAsia" w:cs="等线"/>
                <w:sz w:val="18"/>
                <w:szCs w:val="18"/>
              </w:rPr>
              <w:t>封层：</w:t>
            </w:r>
          </w:p>
        </w:tc>
        <w:tc>
          <w:tcPr>
            <w:tcW w:w="389" w:type="pct"/>
            <w:vAlign w:val="center"/>
          </w:tcPr>
          <w:p w14:paraId="54578062">
            <w:pPr>
              <w:jc w:val="center"/>
              <w:rPr>
                <w:rFonts w:cs="等线"/>
                <w:sz w:val="18"/>
                <w:szCs w:val="18"/>
              </w:rPr>
            </w:pPr>
            <w:r>
              <w:rPr>
                <w:rFonts w:hint="eastAsia" w:cs="等线"/>
                <w:sz w:val="18"/>
                <w:szCs w:val="18"/>
              </w:rPr>
              <w:t>㎡</w:t>
            </w:r>
          </w:p>
        </w:tc>
        <w:tc>
          <w:tcPr>
            <w:tcW w:w="385" w:type="pct"/>
            <w:vAlign w:val="center"/>
          </w:tcPr>
          <w:p w14:paraId="2322232B">
            <w:pPr>
              <w:jc w:val="center"/>
              <w:rPr>
                <w:rFonts w:cs="等线"/>
                <w:sz w:val="18"/>
                <w:szCs w:val="18"/>
              </w:rPr>
            </w:pPr>
            <w:r>
              <w:rPr>
                <w:rFonts w:hint="eastAsia" w:cs="等线"/>
                <w:sz w:val="18"/>
                <w:szCs w:val="18"/>
              </w:rPr>
              <w:t>6200</w:t>
            </w:r>
          </w:p>
        </w:tc>
        <w:tc>
          <w:tcPr>
            <w:tcW w:w="399" w:type="pct"/>
            <w:vAlign w:val="center"/>
          </w:tcPr>
          <w:p w14:paraId="28AC16A2">
            <w:pPr>
              <w:jc w:val="center"/>
              <w:rPr>
                <w:rFonts w:cs="等线"/>
                <w:sz w:val="18"/>
                <w:szCs w:val="18"/>
              </w:rPr>
            </w:pPr>
          </w:p>
        </w:tc>
        <w:tc>
          <w:tcPr>
            <w:tcW w:w="548" w:type="pct"/>
            <w:vAlign w:val="center"/>
          </w:tcPr>
          <w:p w14:paraId="7C36AF3D">
            <w:pPr>
              <w:jc w:val="center"/>
              <w:rPr>
                <w:rFonts w:cs="等线"/>
                <w:sz w:val="18"/>
                <w:szCs w:val="18"/>
              </w:rPr>
            </w:pPr>
          </w:p>
        </w:tc>
        <w:tc>
          <w:tcPr>
            <w:tcW w:w="898" w:type="pct"/>
            <w:vAlign w:val="center"/>
          </w:tcPr>
          <w:p w14:paraId="744F7464">
            <w:pPr>
              <w:jc w:val="center"/>
              <w:rPr>
                <w:rFonts w:cs="等线"/>
                <w:sz w:val="18"/>
                <w:szCs w:val="18"/>
              </w:rPr>
            </w:pPr>
            <w:r>
              <w:rPr>
                <w:rFonts w:hint="eastAsia" w:cs="等线"/>
                <w:sz w:val="18"/>
                <w:szCs w:val="18"/>
              </w:rPr>
              <w:t>甲方提供乳化沥青，乙方负责施工、碎石封层车等措施费综合考虑</w:t>
            </w:r>
          </w:p>
        </w:tc>
      </w:tr>
      <w:tr w14:paraId="0836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5E11A5D9">
            <w:pPr>
              <w:jc w:val="center"/>
              <w:rPr>
                <w:rFonts w:cs="等线"/>
                <w:sz w:val="18"/>
                <w:szCs w:val="18"/>
              </w:rPr>
            </w:pPr>
            <w:r>
              <w:rPr>
                <w:rFonts w:hint="eastAsia" w:cs="等线"/>
                <w:sz w:val="18"/>
                <w:szCs w:val="18"/>
              </w:rPr>
              <w:t>4</w:t>
            </w:r>
          </w:p>
        </w:tc>
        <w:tc>
          <w:tcPr>
            <w:tcW w:w="2138" w:type="pct"/>
            <w:vAlign w:val="center"/>
          </w:tcPr>
          <w:p w14:paraId="16EB3DE9">
            <w:pPr>
              <w:jc w:val="left"/>
              <w:rPr>
                <w:rFonts w:cs="等线"/>
                <w:sz w:val="18"/>
                <w:szCs w:val="18"/>
              </w:rPr>
            </w:pPr>
            <w:r>
              <w:rPr>
                <w:rFonts w:hint="eastAsia" w:cs="等线"/>
                <w:sz w:val="18"/>
                <w:szCs w:val="18"/>
              </w:rPr>
              <w:t>摊铺6cmSBS AC-20粗粒式沥青砼</w:t>
            </w:r>
          </w:p>
          <w:p w14:paraId="03CE1489">
            <w:pPr>
              <w:jc w:val="left"/>
              <w:rPr>
                <w:rFonts w:cs="等线"/>
                <w:sz w:val="18"/>
                <w:szCs w:val="18"/>
              </w:rPr>
            </w:pPr>
            <w:r>
              <w:rPr>
                <w:rFonts w:hint="eastAsia" w:cs="等线"/>
                <w:sz w:val="18"/>
                <w:szCs w:val="18"/>
              </w:rPr>
              <w:t>1.材质：sbs改性沥青；AC-20中粒式沥青混凝土；</w:t>
            </w:r>
          </w:p>
          <w:p w14:paraId="2568BD1A">
            <w:pPr>
              <w:jc w:val="left"/>
              <w:rPr>
                <w:rFonts w:cs="等线"/>
                <w:sz w:val="18"/>
                <w:szCs w:val="18"/>
              </w:rPr>
            </w:pPr>
            <w:r>
              <w:rPr>
                <w:rFonts w:hint="eastAsia" w:cs="等线"/>
                <w:sz w:val="18"/>
                <w:szCs w:val="18"/>
              </w:rPr>
              <w:t>2.设计厚度：6cm；</w:t>
            </w:r>
          </w:p>
          <w:p w14:paraId="1AE39861">
            <w:pPr>
              <w:jc w:val="left"/>
              <w:rPr>
                <w:rFonts w:cs="等线"/>
                <w:sz w:val="18"/>
                <w:szCs w:val="18"/>
              </w:rPr>
            </w:pPr>
            <w:r>
              <w:rPr>
                <w:rFonts w:hint="eastAsia" w:cs="等线"/>
                <w:sz w:val="18"/>
                <w:szCs w:val="18"/>
              </w:rPr>
              <w:t>3.级配：AC-20型中粒式密级配沥青混凝土。其技术要求应严格控制在《公路沥青路面施工技术规范》（JTG F40）规定的AC-20范围内。</w:t>
            </w:r>
          </w:p>
          <w:p w14:paraId="4AB7F483">
            <w:pPr>
              <w:jc w:val="left"/>
              <w:rPr>
                <w:rFonts w:cs="等线"/>
                <w:sz w:val="18"/>
                <w:szCs w:val="18"/>
              </w:rPr>
            </w:pPr>
            <w:r>
              <w:rPr>
                <w:rFonts w:hint="eastAsia" w:cs="等线"/>
                <w:sz w:val="18"/>
                <w:szCs w:val="18"/>
              </w:rPr>
              <w:t>4.含第三方检验试验费等</w:t>
            </w:r>
          </w:p>
        </w:tc>
        <w:tc>
          <w:tcPr>
            <w:tcW w:w="389" w:type="pct"/>
            <w:vAlign w:val="center"/>
          </w:tcPr>
          <w:p w14:paraId="22098BF7">
            <w:pPr>
              <w:jc w:val="center"/>
              <w:rPr>
                <w:rFonts w:cs="等线"/>
                <w:sz w:val="18"/>
                <w:szCs w:val="18"/>
              </w:rPr>
            </w:pPr>
            <w:r>
              <w:rPr>
                <w:rFonts w:hint="eastAsia" w:cs="等线"/>
                <w:sz w:val="18"/>
                <w:szCs w:val="18"/>
              </w:rPr>
              <w:t>㎡</w:t>
            </w:r>
          </w:p>
        </w:tc>
        <w:tc>
          <w:tcPr>
            <w:tcW w:w="385" w:type="pct"/>
            <w:vAlign w:val="center"/>
          </w:tcPr>
          <w:p w14:paraId="7F2B9752">
            <w:pPr>
              <w:jc w:val="center"/>
              <w:rPr>
                <w:rFonts w:cs="等线"/>
                <w:sz w:val="18"/>
                <w:szCs w:val="18"/>
              </w:rPr>
            </w:pPr>
            <w:r>
              <w:rPr>
                <w:rFonts w:hint="eastAsia" w:cs="等线"/>
                <w:sz w:val="18"/>
                <w:szCs w:val="18"/>
              </w:rPr>
              <w:t>6200</w:t>
            </w:r>
          </w:p>
        </w:tc>
        <w:tc>
          <w:tcPr>
            <w:tcW w:w="399" w:type="pct"/>
            <w:vAlign w:val="center"/>
          </w:tcPr>
          <w:p w14:paraId="7268F8F6">
            <w:pPr>
              <w:jc w:val="center"/>
              <w:rPr>
                <w:rFonts w:cs="等线"/>
                <w:sz w:val="18"/>
                <w:szCs w:val="18"/>
              </w:rPr>
            </w:pPr>
          </w:p>
        </w:tc>
        <w:tc>
          <w:tcPr>
            <w:tcW w:w="548" w:type="pct"/>
            <w:vAlign w:val="center"/>
          </w:tcPr>
          <w:p w14:paraId="158DAF77">
            <w:pPr>
              <w:jc w:val="center"/>
              <w:rPr>
                <w:rFonts w:cs="等线"/>
                <w:sz w:val="18"/>
                <w:szCs w:val="18"/>
              </w:rPr>
            </w:pPr>
          </w:p>
        </w:tc>
        <w:tc>
          <w:tcPr>
            <w:tcW w:w="898" w:type="pct"/>
            <w:vAlign w:val="center"/>
          </w:tcPr>
          <w:p w14:paraId="59BF5A49">
            <w:pPr>
              <w:jc w:val="center"/>
              <w:rPr>
                <w:rFonts w:cs="等线"/>
                <w:sz w:val="18"/>
                <w:szCs w:val="18"/>
              </w:rPr>
            </w:pPr>
            <w:r>
              <w:rPr>
                <w:rFonts w:hint="eastAsia" w:cs="等线"/>
                <w:sz w:val="18"/>
                <w:szCs w:val="18"/>
              </w:rPr>
              <w:t>甲方提供6cmSBS AC-20粗粒式沥青砼、乙方负责施工、压实、第三方检验试验费等措施费综合考虑</w:t>
            </w:r>
          </w:p>
        </w:tc>
      </w:tr>
      <w:tr w14:paraId="6A89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28D75D9A">
            <w:pPr>
              <w:jc w:val="center"/>
              <w:rPr>
                <w:rFonts w:cs="等线"/>
                <w:sz w:val="18"/>
                <w:szCs w:val="18"/>
              </w:rPr>
            </w:pPr>
            <w:r>
              <w:rPr>
                <w:rFonts w:hint="eastAsia" w:cs="等线"/>
                <w:sz w:val="18"/>
                <w:szCs w:val="18"/>
              </w:rPr>
              <w:t>5</w:t>
            </w:r>
          </w:p>
        </w:tc>
        <w:tc>
          <w:tcPr>
            <w:tcW w:w="2138" w:type="pct"/>
            <w:vAlign w:val="center"/>
          </w:tcPr>
          <w:p w14:paraId="633D5F41">
            <w:pPr>
              <w:jc w:val="left"/>
              <w:rPr>
                <w:rFonts w:cs="等线"/>
                <w:sz w:val="18"/>
                <w:szCs w:val="18"/>
              </w:rPr>
            </w:pPr>
            <w:r>
              <w:rPr>
                <w:rFonts w:hint="eastAsia" w:cs="等线"/>
                <w:sz w:val="18"/>
                <w:szCs w:val="18"/>
              </w:rPr>
              <w:t>喷洒粘层乳化沥青</w:t>
            </w:r>
          </w:p>
          <w:p w14:paraId="07A288D3">
            <w:pPr>
              <w:jc w:val="left"/>
              <w:rPr>
                <w:rFonts w:cs="等线"/>
                <w:sz w:val="18"/>
                <w:szCs w:val="18"/>
              </w:rPr>
            </w:pPr>
            <w:r>
              <w:rPr>
                <w:rFonts w:hint="eastAsia" w:cs="等线"/>
                <w:sz w:val="18"/>
                <w:szCs w:val="18"/>
              </w:rPr>
              <w:t>1. SBS改性乳化沥青</w:t>
            </w:r>
          </w:p>
          <w:p w14:paraId="3ED64162">
            <w:pPr>
              <w:jc w:val="left"/>
              <w:rPr>
                <w:rFonts w:cs="等线"/>
                <w:sz w:val="18"/>
                <w:szCs w:val="18"/>
              </w:rPr>
            </w:pPr>
            <w:r>
              <w:rPr>
                <w:rFonts w:hint="eastAsia" w:cs="等线"/>
                <w:sz w:val="18"/>
                <w:szCs w:val="18"/>
              </w:rPr>
              <w:t>2. 用量：0.3-0.5 L/m²</w:t>
            </w:r>
          </w:p>
        </w:tc>
        <w:tc>
          <w:tcPr>
            <w:tcW w:w="389" w:type="pct"/>
            <w:vAlign w:val="center"/>
          </w:tcPr>
          <w:p w14:paraId="1151320C">
            <w:pPr>
              <w:jc w:val="center"/>
              <w:rPr>
                <w:rFonts w:cs="等线"/>
                <w:sz w:val="18"/>
                <w:szCs w:val="18"/>
              </w:rPr>
            </w:pPr>
            <w:r>
              <w:rPr>
                <w:rFonts w:hint="eastAsia" w:cs="等线"/>
                <w:sz w:val="18"/>
                <w:szCs w:val="18"/>
              </w:rPr>
              <w:t>㎡</w:t>
            </w:r>
          </w:p>
        </w:tc>
        <w:tc>
          <w:tcPr>
            <w:tcW w:w="385" w:type="pct"/>
            <w:vAlign w:val="center"/>
          </w:tcPr>
          <w:p w14:paraId="4B05D089">
            <w:pPr>
              <w:jc w:val="center"/>
              <w:rPr>
                <w:rFonts w:cs="等线"/>
                <w:sz w:val="18"/>
                <w:szCs w:val="18"/>
              </w:rPr>
            </w:pPr>
            <w:r>
              <w:rPr>
                <w:rFonts w:hint="eastAsia" w:cs="等线"/>
                <w:sz w:val="18"/>
                <w:szCs w:val="18"/>
              </w:rPr>
              <w:t>6200</w:t>
            </w:r>
          </w:p>
        </w:tc>
        <w:tc>
          <w:tcPr>
            <w:tcW w:w="399" w:type="pct"/>
            <w:vAlign w:val="center"/>
          </w:tcPr>
          <w:p w14:paraId="6241AFEC">
            <w:pPr>
              <w:jc w:val="center"/>
              <w:rPr>
                <w:rFonts w:cs="等线"/>
                <w:sz w:val="18"/>
                <w:szCs w:val="18"/>
              </w:rPr>
            </w:pPr>
          </w:p>
        </w:tc>
        <w:tc>
          <w:tcPr>
            <w:tcW w:w="548" w:type="pct"/>
            <w:vAlign w:val="center"/>
          </w:tcPr>
          <w:p w14:paraId="0D9FE16C">
            <w:pPr>
              <w:jc w:val="center"/>
              <w:rPr>
                <w:rFonts w:cs="等线"/>
                <w:sz w:val="18"/>
                <w:szCs w:val="18"/>
              </w:rPr>
            </w:pPr>
          </w:p>
        </w:tc>
        <w:tc>
          <w:tcPr>
            <w:tcW w:w="898" w:type="pct"/>
            <w:vAlign w:val="center"/>
          </w:tcPr>
          <w:p w14:paraId="5CE9C1A7">
            <w:pPr>
              <w:jc w:val="center"/>
              <w:rPr>
                <w:rFonts w:cs="等线"/>
                <w:sz w:val="18"/>
                <w:szCs w:val="18"/>
              </w:rPr>
            </w:pPr>
            <w:r>
              <w:rPr>
                <w:rFonts w:hint="eastAsia" w:cs="等线"/>
                <w:sz w:val="18"/>
                <w:szCs w:val="18"/>
              </w:rPr>
              <w:t>甲方提供乳化沥青，乙方负责施工、洒布车等措施费综合考虑</w:t>
            </w:r>
          </w:p>
        </w:tc>
      </w:tr>
      <w:tr w14:paraId="17CE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74A43D52">
            <w:pPr>
              <w:jc w:val="center"/>
              <w:rPr>
                <w:rFonts w:cs="等线"/>
                <w:sz w:val="18"/>
                <w:szCs w:val="18"/>
              </w:rPr>
            </w:pPr>
            <w:r>
              <w:rPr>
                <w:rFonts w:hint="eastAsia" w:cs="等线"/>
                <w:sz w:val="18"/>
                <w:szCs w:val="18"/>
              </w:rPr>
              <w:t>6</w:t>
            </w:r>
          </w:p>
        </w:tc>
        <w:tc>
          <w:tcPr>
            <w:tcW w:w="2138" w:type="pct"/>
            <w:vAlign w:val="center"/>
          </w:tcPr>
          <w:p w14:paraId="5D539156">
            <w:pPr>
              <w:jc w:val="left"/>
              <w:rPr>
                <w:rFonts w:cs="等线"/>
                <w:sz w:val="18"/>
                <w:szCs w:val="18"/>
              </w:rPr>
            </w:pPr>
            <w:r>
              <w:rPr>
                <w:rFonts w:hint="eastAsia" w:cs="等线"/>
                <w:sz w:val="18"/>
                <w:szCs w:val="18"/>
              </w:rPr>
              <w:t>摊铺6cmSMA 13细粒式沥青砼（玄武岩石料）。</w:t>
            </w:r>
          </w:p>
          <w:p w14:paraId="33F03A14">
            <w:pPr>
              <w:jc w:val="left"/>
              <w:rPr>
                <w:rFonts w:cs="等线"/>
                <w:sz w:val="18"/>
                <w:szCs w:val="18"/>
              </w:rPr>
            </w:pPr>
            <w:r>
              <w:rPr>
                <w:rFonts w:hint="eastAsia" w:cs="等线"/>
                <w:sz w:val="18"/>
                <w:szCs w:val="18"/>
              </w:rPr>
              <w:t>1.材质：沥青玛蹄脂碎石混合料；13细粒式沥青混凝土；粗集料：采用玄武岩碎石，石料应坚硬、洁净、干燥、表面粗糙，其压碎值、磨光值、粘附性等指标须符合规范要求。</w:t>
            </w:r>
          </w:p>
          <w:p w14:paraId="7E3C2496">
            <w:pPr>
              <w:jc w:val="left"/>
              <w:rPr>
                <w:rFonts w:cs="等线"/>
                <w:sz w:val="18"/>
                <w:szCs w:val="18"/>
              </w:rPr>
            </w:pPr>
            <w:r>
              <w:rPr>
                <w:rFonts w:hint="eastAsia" w:cs="等线"/>
                <w:sz w:val="18"/>
                <w:szCs w:val="18"/>
              </w:rPr>
              <w:t>细集料：采用坚硬、洁净、干燥的玄武岩机制砂或石屑，由玄武岩碎石轧制而成，具有良好的棱角性。</w:t>
            </w:r>
          </w:p>
          <w:p w14:paraId="5B3640A3">
            <w:pPr>
              <w:jc w:val="left"/>
              <w:rPr>
                <w:rFonts w:cs="等线"/>
                <w:sz w:val="18"/>
                <w:szCs w:val="18"/>
              </w:rPr>
            </w:pPr>
            <w:r>
              <w:rPr>
                <w:rFonts w:hint="eastAsia" w:cs="等线"/>
                <w:sz w:val="18"/>
                <w:szCs w:val="18"/>
              </w:rPr>
              <w:t>2.设计厚度：6cm；</w:t>
            </w:r>
          </w:p>
          <w:p w14:paraId="041EA335">
            <w:pPr>
              <w:jc w:val="left"/>
              <w:rPr>
                <w:rFonts w:cs="等线"/>
                <w:sz w:val="18"/>
                <w:szCs w:val="18"/>
              </w:rPr>
            </w:pPr>
            <w:r>
              <w:rPr>
                <w:rFonts w:hint="eastAsia" w:cs="等线"/>
                <w:sz w:val="18"/>
                <w:szCs w:val="18"/>
              </w:rPr>
              <w:t>3.级配：6cmSMA 13细粒式沥青砼。其技术要求应严格控制在《公路沥青路面施工技术规范》（JTG F40）规定的范围内。</w:t>
            </w:r>
          </w:p>
          <w:p w14:paraId="3D9D64DD">
            <w:pPr>
              <w:jc w:val="left"/>
              <w:rPr>
                <w:rFonts w:cs="等线"/>
                <w:sz w:val="18"/>
                <w:szCs w:val="18"/>
              </w:rPr>
            </w:pPr>
            <w:r>
              <w:rPr>
                <w:rFonts w:hint="eastAsia" w:cs="等线"/>
                <w:sz w:val="18"/>
                <w:szCs w:val="18"/>
              </w:rPr>
              <w:t>4.含第三方检验试验费等</w:t>
            </w:r>
          </w:p>
        </w:tc>
        <w:tc>
          <w:tcPr>
            <w:tcW w:w="389" w:type="pct"/>
            <w:vAlign w:val="center"/>
          </w:tcPr>
          <w:p w14:paraId="23510574">
            <w:pPr>
              <w:jc w:val="center"/>
              <w:rPr>
                <w:rFonts w:cs="等线"/>
                <w:sz w:val="18"/>
                <w:szCs w:val="18"/>
              </w:rPr>
            </w:pPr>
            <w:r>
              <w:rPr>
                <w:rFonts w:hint="eastAsia" w:cs="等线"/>
                <w:sz w:val="18"/>
                <w:szCs w:val="18"/>
              </w:rPr>
              <w:t>㎡</w:t>
            </w:r>
          </w:p>
        </w:tc>
        <w:tc>
          <w:tcPr>
            <w:tcW w:w="385" w:type="pct"/>
            <w:vAlign w:val="center"/>
          </w:tcPr>
          <w:p w14:paraId="38824F4C">
            <w:pPr>
              <w:jc w:val="center"/>
              <w:rPr>
                <w:rFonts w:cs="等线"/>
                <w:sz w:val="18"/>
                <w:szCs w:val="18"/>
              </w:rPr>
            </w:pPr>
            <w:r>
              <w:rPr>
                <w:rFonts w:hint="eastAsia" w:cs="等线"/>
                <w:sz w:val="18"/>
                <w:szCs w:val="18"/>
              </w:rPr>
              <w:t>6200</w:t>
            </w:r>
          </w:p>
        </w:tc>
        <w:tc>
          <w:tcPr>
            <w:tcW w:w="399" w:type="pct"/>
            <w:vAlign w:val="center"/>
          </w:tcPr>
          <w:p w14:paraId="60653FCF">
            <w:pPr>
              <w:jc w:val="center"/>
              <w:rPr>
                <w:rFonts w:cs="等线"/>
                <w:sz w:val="18"/>
                <w:szCs w:val="18"/>
              </w:rPr>
            </w:pPr>
          </w:p>
        </w:tc>
        <w:tc>
          <w:tcPr>
            <w:tcW w:w="548" w:type="pct"/>
            <w:vAlign w:val="center"/>
          </w:tcPr>
          <w:p w14:paraId="27E35382">
            <w:pPr>
              <w:jc w:val="center"/>
              <w:rPr>
                <w:rFonts w:cs="等线"/>
                <w:sz w:val="18"/>
                <w:szCs w:val="18"/>
              </w:rPr>
            </w:pPr>
          </w:p>
        </w:tc>
        <w:tc>
          <w:tcPr>
            <w:tcW w:w="898" w:type="pct"/>
            <w:vAlign w:val="center"/>
          </w:tcPr>
          <w:p w14:paraId="74F8762E">
            <w:pPr>
              <w:jc w:val="center"/>
              <w:rPr>
                <w:rFonts w:cs="等线"/>
                <w:sz w:val="18"/>
                <w:szCs w:val="18"/>
              </w:rPr>
            </w:pPr>
            <w:r>
              <w:rPr>
                <w:rFonts w:hint="eastAsia" w:cs="等线"/>
                <w:sz w:val="18"/>
                <w:szCs w:val="18"/>
              </w:rPr>
              <w:t>甲方提供6cmSMA 13细粒式沥青砼（玄武岩石料）、乙方负责施工、压实、第三方检验试验费等措施费综合考虑</w:t>
            </w:r>
          </w:p>
        </w:tc>
      </w:tr>
      <w:tr w14:paraId="6C4E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trPr>
        <w:tc>
          <w:tcPr>
            <w:tcW w:w="243" w:type="pct"/>
            <w:vAlign w:val="center"/>
          </w:tcPr>
          <w:p w14:paraId="5BAC5984">
            <w:pPr>
              <w:jc w:val="center"/>
              <w:rPr>
                <w:rFonts w:cs="等线"/>
                <w:sz w:val="18"/>
                <w:szCs w:val="18"/>
              </w:rPr>
            </w:pPr>
            <w:r>
              <w:rPr>
                <w:rFonts w:hint="eastAsia" w:cs="等线"/>
                <w:sz w:val="18"/>
                <w:szCs w:val="18"/>
              </w:rPr>
              <w:t>7</w:t>
            </w:r>
          </w:p>
        </w:tc>
        <w:tc>
          <w:tcPr>
            <w:tcW w:w="2138" w:type="pct"/>
            <w:vAlign w:val="center"/>
          </w:tcPr>
          <w:p w14:paraId="5DD57B73">
            <w:pPr>
              <w:jc w:val="left"/>
              <w:rPr>
                <w:rFonts w:cs="等线"/>
                <w:sz w:val="18"/>
                <w:szCs w:val="18"/>
              </w:rPr>
            </w:pPr>
            <w:r>
              <w:rPr>
                <w:rFonts w:hint="eastAsia" w:cs="等线"/>
                <w:sz w:val="18"/>
                <w:szCs w:val="18"/>
              </w:rPr>
              <w:t>暂列金</w:t>
            </w:r>
          </w:p>
        </w:tc>
        <w:tc>
          <w:tcPr>
            <w:tcW w:w="389" w:type="pct"/>
            <w:vAlign w:val="center"/>
          </w:tcPr>
          <w:p w14:paraId="7C16832B">
            <w:pPr>
              <w:jc w:val="center"/>
              <w:rPr>
                <w:rFonts w:cs="等线"/>
                <w:sz w:val="18"/>
                <w:szCs w:val="18"/>
              </w:rPr>
            </w:pPr>
            <w:r>
              <w:rPr>
                <w:rFonts w:hint="eastAsia" w:cs="等线"/>
                <w:sz w:val="18"/>
                <w:szCs w:val="18"/>
              </w:rPr>
              <w:t>元</w:t>
            </w:r>
          </w:p>
        </w:tc>
        <w:tc>
          <w:tcPr>
            <w:tcW w:w="385" w:type="pct"/>
            <w:vAlign w:val="center"/>
          </w:tcPr>
          <w:p w14:paraId="3771DFB3">
            <w:pPr>
              <w:jc w:val="center"/>
              <w:rPr>
                <w:rFonts w:cs="等线"/>
                <w:sz w:val="18"/>
                <w:szCs w:val="18"/>
              </w:rPr>
            </w:pPr>
          </w:p>
        </w:tc>
        <w:tc>
          <w:tcPr>
            <w:tcW w:w="399" w:type="pct"/>
            <w:vAlign w:val="center"/>
          </w:tcPr>
          <w:p w14:paraId="5E1D4587">
            <w:pPr>
              <w:jc w:val="center"/>
              <w:rPr>
                <w:rFonts w:cs="等线"/>
                <w:sz w:val="18"/>
                <w:szCs w:val="18"/>
              </w:rPr>
            </w:pPr>
          </w:p>
        </w:tc>
        <w:tc>
          <w:tcPr>
            <w:tcW w:w="548" w:type="pct"/>
            <w:vAlign w:val="center"/>
          </w:tcPr>
          <w:p w14:paraId="0D34E9F8">
            <w:pPr>
              <w:jc w:val="center"/>
              <w:rPr>
                <w:rFonts w:cs="等线"/>
                <w:sz w:val="18"/>
                <w:szCs w:val="18"/>
              </w:rPr>
            </w:pPr>
            <w:r>
              <w:rPr>
                <w:rFonts w:hint="eastAsia" w:cs="等线"/>
                <w:sz w:val="18"/>
                <w:szCs w:val="18"/>
              </w:rPr>
              <w:t>40000</w:t>
            </w:r>
          </w:p>
        </w:tc>
        <w:tc>
          <w:tcPr>
            <w:tcW w:w="898" w:type="pct"/>
            <w:vAlign w:val="center"/>
          </w:tcPr>
          <w:p w14:paraId="378588B1">
            <w:pPr>
              <w:jc w:val="center"/>
              <w:rPr>
                <w:rFonts w:cs="等线"/>
                <w:sz w:val="18"/>
                <w:szCs w:val="18"/>
              </w:rPr>
            </w:pPr>
            <w:r>
              <w:rPr>
                <w:rFonts w:hint="eastAsia" w:cs="等线"/>
                <w:sz w:val="18"/>
                <w:szCs w:val="18"/>
              </w:rPr>
              <w:t>暂列金额按照工程量清单中列出的金额填写，不能通过修改此项报价来竞争。</w:t>
            </w:r>
          </w:p>
        </w:tc>
      </w:tr>
      <w:tr w14:paraId="1541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243" w:type="pct"/>
            <w:vAlign w:val="center"/>
          </w:tcPr>
          <w:p w14:paraId="0DD1F35B">
            <w:pPr>
              <w:jc w:val="center"/>
              <w:rPr>
                <w:rFonts w:cs="等线"/>
                <w:sz w:val="18"/>
                <w:szCs w:val="18"/>
              </w:rPr>
            </w:pPr>
            <w:r>
              <w:rPr>
                <w:rFonts w:hint="eastAsia" w:cs="等线"/>
                <w:sz w:val="18"/>
                <w:szCs w:val="18"/>
              </w:rPr>
              <w:t>8</w:t>
            </w:r>
          </w:p>
        </w:tc>
        <w:tc>
          <w:tcPr>
            <w:tcW w:w="2138" w:type="pct"/>
            <w:vAlign w:val="center"/>
          </w:tcPr>
          <w:p w14:paraId="6015753B">
            <w:pPr>
              <w:jc w:val="center"/>
              <w:rPr>
                <w:rFonts w:cs="等线"/>
                <w:sz w:val="18"/>
                <w:szCs w:val="18"/>
              </w:rPr>
            </w:pPr>
            <w:r>
              <w:rPr>
                <w:rFonts w:hint="eastAsia" w:cs="等线"/>
                <w:sz w:val="18"/>
                <w:szCs w:val="18"/>
              </w:rPr>
              <w:t>合计</w:t>
            </w:r>
          </w:p>
        </w:tc>
        <w:tc>
          <w:tcPr>
            <w:tcW w:w="389" w:type="pct"/>
            <w:vAlign w:val="center"/>
          </w:tcPr>
          <w:p w14:paraId="0A472257">
            <w:pPr>
              <w:jc w:val="center"/>
              <w:rPr>
                <w:rFonts w:cs="等线"/>
                <w:sz w:val="18"/>
                <w:szCs w:val="18"/>
              </w:rPr>
            </w:pPr>
          </w:p>
        </w:tc>
        <w:tc>
          <w:tcPr>
            <w:tcW w:w="385" w:type="pct"/>
            <w:vAlign w:val="center"/>
          </w:tcPr>
          <w:p w14:paraId="2D5B51A6">
            <w:pPr>
              <w:jc w:val="center"/>
              <w:rPr>
                <w:rFonts w:cs="等线"/>
                <w:sz w:val="18"/>
                <w:szCs w:val="18"/>
              </w:rPr>
            </w:pPr>
          </w:p>
        </w:tc>
        <w:tc>
          <w:tcPr>
            <w:tcW w:w="399" w:type="pct"/>
            <w:vAlign w:val="center"/>
          </w:tcPr>
          <w:p w14:paraId="3C9E69B6">
            <w:pPr>
              <w:jc w:val="center"/>
              <w:rPr>
                <w:rFonts w:cs="等线"/>
                <w:sz w:val="18"/>
                <w:szCs w:val="18"/>
              </w:rPr>
            </w:pPr>
          </w:p>
        </w:tc>
        <w:tc>
          <w:tcPr>
            <w:tcW w:w="548" w:type="pct"/>
            <w:vAlign w:val="center"/>
          </w:tcPr>
          <w:p w14:paraId="0BB1E54F">
            <w:pPr>
              <w:jc w:val="center"/>
              <w:rPr>
                <w:rFonts w:cs="等线"/>
                <w:sz w:val="18"/>
                <w:szCs w:val="18"/>
              </w:rPr>
            </w:pPr>
          </w:p>
        </w:tc>
        <w:tc>
          <w:tcPr>
            <w:tcW w:w="898" w:type="pct"/>
            <w:vAlign w:val="center"/>
          </w:tcPr>
          <w:p w14:paraId="4485E691">
            <w:pPr>
              <w:jc w:val="center"/>
              <w:rPr>
                <w:rFonts w:cs="等线"/>
                <w:sz w:val="18"/>
                <w:szCs w:val="18"/>
              </w:rPr>
            </w:pPr>
          </w:p>
        </w:tc>
      </w:tr>
    </w:tbl>
    <w:p w14:paraId="7AA69101">
      <w:pPr>
        <w:rPr>
          <w:rFonts w:hint="eastAsia" w:ascii="Times New Roman" w:hAnsi="Times New Roman"/>
          <w:b/>
          <w:color w:val="000000"/>
          <w:sz w:val="32"/>
          <w:szCs w:val="32"/>
          <w:lang w:val="en-US" w:eastAsia="zh-CN"/>
        </w:rPr>
      </w:pPr>
      <w:r>
        <w:rPr>
          <w:rFonts w:hint="eastAsia" w:ascii="Times New Roman" w:hAnsi="Times New Roman"/>
          <w:b/>
          <w:color w:val="000000"/>
          <w:sz w:val="32"/>
          <w:szCs w:val="32"/>
          <w:lang w:val="en-US" w:eastAsia="zh-CN"/>
        </w:rPr>
        <w:t>附件1.安全管理协议</w:t>
      </w:r>
    </w:p>
    <w:p w14:paraId="227B82C6">
      <w:pPr>
        <w:rPr>
          <w:rFonts w:hint="default" w:ascii="Times New Roman" w:hAnsi="Times New Roman"/>
          <w:b/>
          <w:color w:val="000000"/>
          <w:sz w:val="32"/>
          <w:szCs w:val="32"/>
          <w:lang w:val="en-US" w:eastAsia="zh-CN"/>
        </w:rPr>
      </w:pPr>
      <w:r>
        <w:rPr>
          <w:rFonts w:hint="eastAsia" w:ascii="Times New Roman" w:hAnsi="Times New Roman"/>
          <w:b/>
          <w:color w:val="000000"/>
          <w:sz w:val="32"/>
          <w:szCs w:val="32"/>
          <w:lang w:val="en-US" w:eastAsia="zh-CN"/>
        </w:rPr>
        <w:t>附件2.环保管理协议</w:t>
      </w:r>
    </w:p>
    <w:p w14:paraId="0E2E35FC">
      <w:pPr>
        <w:pStyle w:val="25"/>
        <w:keepNext w:val="0"/>
        <w:keepLines w:val="0"/>
        <w:widowControl/>
        <w:spacing w:before="0" w:after="0" w:line="300" w:lineRule="auto"/>
        <w:ind w:firstLine="2209" w:firstLineChars="500"/>
        <w:outlineLvl w:val="0"/>
        <w:rPr>
          <w:rFonts w:hint="eastAsia" w:ascii="Times New Roman" w:hAnsi="Times New Roman"/>
          <w:b/>
          <w:bCs w:val="0"/>
          <w:i w:val="0"/>
          <w:color w:val="000000"/>
          <w:kern w:val="2"/>
          <w:sz w:val="44"/>
          <w:szCs w:val="44"/>
        </w:rPr>
      </w:pPr>
      <w:bookmarkStart w:id="662" w:name="_Toc15733"/>
    </w:p>
    <w:p w14:paraId="06D6310B">
      <w:pPr>
        <w:pStyle w:val="25"/>
        <w:keepNext w:val="0"/>
        <w:keepLines w:val="0"/>
        <w:widowControl/>
        <w:spacing w:before="0" w:after="0" w:line="300" w:lineRule="auto"/>
        <w:ind w:firstLine="2209" w:firstLineChars="500"/>
        <w:outlineLvl w:val="0"/>
        <w:rPr>
          <w:rFonts w:hint="eastAsia" w:ascii="Times New Roman" w:hAnsi="Times New Roman"/>
          <w:b/>
          <w:bCs w:val="0"/>
          <w:i w:val="0"/>
          <w:color w:val="000000"/>
          <w:kern w:val="2"/>
          <w:sz w:val="44"/>
          <w:szCs w:val="44"/>
        </w:rPr>
      </w:pPr>
    </w:p>
    <w:p w14:paraId="0E0CDB6C">
      <w:pPr>
        <w:pStyle w:val="25"/>
        <w:keepNext w:val="0"/>
        <w:keepLines w:val="0"/>
        <w:widowControl/>
        <w:spacing w:before="0" w:after="0" w:line="300" w:lineRule="auto"/>
        <w:ind w:firstLine="2209" w:firstLineChars="500"/>
        <w:outlineLvl w:val="0"/>
        <w:rPr>
          <w:rFonts w:hint="eastAsia" w:ascii="Times New Roman" w:hAnsi="Times New Roman"/>
          <w:b/>
          <w:bCs w:val="0"/>
          <w:i w:val="0"/>
          <w:color w:val="000000"/>
          <w:kern w:val="2"/>
          <w:sz w:val="44"/>
          <w:szCs w:val="44"/>
        </w:rPr>
      </w:pPr>
    </w:p>
    <w:p w14:paraId="1D9BEEFC">
      <w:pPr>
        <w:pStyle w:val="25"/>
        <w:keepNext w:val="0"/>
        <w:keepLines w:val="0"/>
        <w:widowControl/>
        <w:spacing w:before="0" w:after="0" w:line="300" w:lineRule="auto"/>
        <w:ind w:firstLine="2209" w:firstLineChars="500"/>
        <w:outlineLvl w:val="0"/>
        <w:rPr>
          <w:rFonts w:hint="eastAsia" w:ascii="Times New Roman" w:hAnsi="Times New Roman"/>
          <w:b/>
          <w:bCs w:val="0"/>
          <w:i w:val="0"/>
          <w:color w:val="000000"/>
          <w:kern w:val="2"/>
          <w:sz w:val="44"/>
          <w:szCs w:val="44"/>
        </w:rPr>
      </w:pPr>
    </w:p>
    <w:p w14:paraId="0284F41B">
      <w:pPr>
        <w:pStyle w:val="25"/>
        <w:keepNext w:val="0"/>
        <w:keepLines w:val="0"/>
        <w:widowControl/>
        <w:spacing w:before="0" w:after="0" w:line="300" w:lineRule="auto"/>
        <w:ind w:firstLine="2209" w:firstLineChars="500"/>
        <w:outlineLvl w:val="0"/>
        <w:rPr>
          <w:rFonts w:hint="eastAsia" w:ascii="Times New Roman" w:hAnsi="Times New Roman"/>
          <w:b/>
          <w:bCs w:val="0"/>
          <w:i w:val="0"/>
          <w:color w:val="000000"/>
          <w:kern w:val="2"/>
          <w:sz w:val="44"/>
          <w:szCs w:val="44"/>
        </w:rPr>
      </w:pPr>
    </w:p>
    <w:p w14:paraId="2D2971FD">
      <w:pPr>
        <w:pStyle w:val="25"/>
        <w:keepNext w:val="0"/>
        <w:keepLines w:val="0"/>
        <w:widowControl/>
        <w:spacing w:before="0" w:after="0" w:line="300" w:lineRule="auto"/>
        <w:ind w:firstLine="2209" w:firstLineChars="500"/>
        <w:outlineLvl w:val="0"/>
        <w:rPr>
          <w:rFonts w:ascii="Times New Roman" w:hAnsi="Times New Roman"/>
          <w:b/>
          <w:bCs w:val="0"/>
          <w:i w:val="0"/>
          <w:color w:val="000000"/>
          <w:kern w:val="2"/>
          <w:sz w:val="44"/>
          <w:szCs w:val="44"/>
        </w:rPr>
      </w:pPr>
      <w:r>
        <w:rPr>
          <w:rFonts w:hint="eastAsia" w:ascii="Times New Roman" w:hAnsi="Times New Roman"/>
          <w:b/>
          <w:bCs w:val="0"/>
          <w:i w:val="0"/>
          <w:color w:val="000000"/>
          <w:kern w:val="2"/>
          <w:sz w:val="44"/>
          <w:szCs w:val="44"/>
        </w:rPr>
        <w:t>第五章  技术标准和要求</w:t>
      </w:r>
      <w:bookmarkEnd w:id="662"/>
    </w:p>
    <w:p w14:paraId="2A06C3DD">
      <w:pPr>
        <w:numPr>
          <w:ilvl w:val="0"/>
          <w:numId w:val="6"/>
        </w:numPr>
        <w:spacing w:line="300" w:lineRule="auto"/>
        <w:rPr>
          <w:rFonts w:ascii="Times New Roman" w:hAnsi="Times New Roman"/>
          <w:color w:val="000000"/>
        </w:rPr>
      </w:pPr>
      <w:r>
        <w:rPr>
          <w:rFonts w:hint="eastAsia" w:ascii="Times New Roman" w:hAnsi="Times New Roman"/>
          <w:b/>
          <w:color w:val="000000"/>
        </w:rPr>
        <w:t>现场自然条件：</w:t>
      </w:r>
    </w:p>
    <w:p w14:paraId="6094BDAA">
      <w:pPr>
        <w:spacing w:line="300" w:lineRule="auto"/>
        <w:ind w:firstLine="630" w:firstLineChars="300"/>
        <w:rPr>
          <w:rFonts w:ascii="Times New Roman" w:hAnsi="Times New Roman"/>
          <w:color w:val="000000"/>
        </w:rPr>
      </w:pPr>
      <w:r>
        <w:rPr>
          <w:rFonts w:ascii="Times New Roman" w:hAnsi="Times New Roman"/>
          <w:color w:val="000000"/>
        </w:rPr>
        <w:t>1</w:t>
      </w:r>
      <w:r>
        <w:rPr>
          <w:rFonts w:hint="eastAsia" w:ascii="Times New Roman" w:hAnsi="Times New Roman"/>
          <w:color w:val="000000"/>
        </w:rPr>
        <w:t>．施工现场位于山东济南章丘官庄山东济钢环保新材料产业园</w:t>
      </w:r>
    </w:p>
    <w:p w14:paraId="453D0E6E">
      <w:pPr>
        <w:pStyle w:val="30"/>
        <w:numPr>
          <w:ilvl w:val="0"/>
          <w:numId w:val="0"/>
        </w:numPr>
        <w:spacing w:before="0" w:line="300" w:lineRule="auto"/>
        <w:ind w:left="1470" w:leftChars="357" w:hanging="720" w:hangingChars="300"/>
        <w:rPr>
          <w:color w:val="000000"/>
        </w:rPr>
      </w:pPr>
      <w:r>
        <w:rPr>
          <w:color w:val="000000"/>
        </w:rPr>
        <w:t>2.</w:t>
      </w:r>
      <w:r>
        <w:rPr>
          <w:rFonts w:hint="eastAsia"/>
          <w:color w:val="000000"/>
        </w:rPr>
        <w:t>地理自然环境：</w:t>
      </w:r>
    </w:p>
    <w:p w14:paraId="525F6C79">
      <w:pPr>
        <w:spacing w:line="300" w:lineRule="auto"/>
        <w:ind w:firstLine="525" w:firstLineChars="250"/>
        <w:rPr>
          <w:rFonts w:ascii="Times New Roman" w:hAnsi="Times New Roman"/>
          <w:color w:val="000000"/>
        </w:rPr>
      </w:pPr>
      <w:r>
        <w:rPr>
          <w:rFonts w:hint="eastAsia" w:ascii="Times New Roman" w:hAnsi="Times New Roman"/>
          <w:color w:val="000000"/>
        </w:rPr>
        <w:t>（</w:t>
      </w:r>
      <w:r>
        <w:rPr>
          <w:rFonts w:ascii="Times New Roman" w:hAnsi="Times New Roman"/>
          <w:color w:val="000000"/>
        </w:rPr>
        <w:t>1</w:t>
      </w:r>
      <w:r>
        <w:rPr>
          <w:rFonts w:hint="eastAsia" w:ascii="Times New Roman" w:hAnsi="Times New Roman"/>
          <w:color w:val="000000"/>
        </w:rPr>
        <w:t>）海拔：</w:t>
      </w:r>
    </w:p>
    <w:p w14:paraId="31D147FB">
      <w:pPr>
        <w:spacing w:line="300" w:lineRule="auto"/>
        <w:ind w:firstLine="525" w:firstLineChars="250"/>
        <w:rPr>
          <w:rFonts w:ascii="Times New Roman" w:hAnsi="Times New Roman"/>
          <w:color w:val="000000"/>
        </w:rPr>
      </w:pPr>
      <w:r>
        <w:rPr>
          <w:rFonts w:hint="eastAsia" w:ascii="Times New Roman" w:hAnsi="Times New Roman"/>
          <w:color w:val="000000"/>
        </w:rPr>
        <w:t>（</w:t>
      </w:r>
      <w:r>
        <w:rPr>
          <w:rFonts w:ascii="Times New Roman" w:hAnsi="Times New Roman"/>
          <w:color w:val="000000"/>
        </w:rPr>
        <w:t>2</w:t>
      </w:r>
      <w:r>
        <w:rPr>
          <w:rFonts w:hint="eastAsia" w:ascii="Times New Roman" w:hAnsi="Times New Roman"/>
          <w:color w:val="000000"/>
        </w:rPr>
        <w:t>）降水：</w:t>
      </w:r>
    </w:p>
    <w:p w14:paraId="44C342D9">
      <w:pPr>
        <w:spacing w:line="300" w:lineRule="auto"/>
        <w:ind w:firstLine="525" w:firstLineChars="250"/>
        <w:rPr>
          <w:rFonts w:ascii="Times New Roman" w:hAnsi="Times New Roman"/>
          <w:color w:val="000000"/>
        </w:rPr>
      </w:pPr>
      <w:r>
        <w:rPr>
          <w:rFonts w:hint="eastAsia" w:ascii="Times New Roman" w:hAnsi="Times New Roman"/>
          <w:color w:val="000000"/>
        </w:rPr>
        <w:t>（</w:t>
      </w:r>
      <w:r>
        <w:rPr>
          <w:rFonts w:ascii="Times New Roman" w:hAnsi="Times New Roman"/>
          <w:color w:val="000000"/>
        </w:rPr>
        <w:t>3</w:t>
      </w:r>
      <w:r>
        <w:rPr>
          <w:rFonts w:hint="eastAsia" w:ascii="Times New Roman" w:hAnsi="Times New Roman"/>
          <w:color w:val="000000"/>
        </w:rPr>
        <w:t>）气温：</w:t>
      </w:r>
    </w:p>
    <w:p w14:paraId="11E8506F">
      <w:pPr>
        <w:spacing w:line="300" w:lineRule="auto"/>
        <w:ind w:firstLine="525" w:firstLineChars="250"/>
        <w:rPr>
          <w:rFonts w:ascii="Times New Roman" w:hAnsi="Times New Roman"/>
          <w:color w:val="000000"/>
        </w:rPr>
      </w:pPr>
      <w:r>
        <w:rPr>
          <w:rFonts w:hint="eastAsia" w:ascii="Times New Roman" w:hAnsi="Times New Roman"/>
          <w:color w:val="000000"/>
        </w:rPr>
        <w:t>（</w:t>
      </w:r>
      <w:r>
        <w:rPr>
          <w:rFonts w:ascii="Times New Roman" w:hAnsi="Times New Roman"/>
          <w:color w:val="000000"/>
        </w:rPr>
        <w:t>4</w:t>
      </w:r>
      <w:r>
        <w:rPr>
          <w:rFonts w:hint="eastAsia" w:ascii="Times New Roman" w:hAnsi="Times New Roman"/>
          <w:color w:val="000000"/>
        </w:rPr>
        <w:t>）风：</w:t>
      </w:r>
    </w:p>
    <w:p w14:paraId="18625E63">
      <w:pPr>
        <w:spacing w:line="300" w:lineRule="auto"/>
        <w:ind w:firstLine="525" w:firstLineChars="250"/>
        <w:rPr>
          <w:rFonts w:ascii="Times New Roman" w:hAnsi="Times New Roman"/>
          <w:color w:val="000000"/>
        </w:rPr>
      </w:pPr>
      <w:r>
        <w:rPr>
          <w:rFonts w:hint="eastAsia" w:ascii="Times New Roman" w:hAnsi="Times New Roman"/>
          <w:color w:val="000000"/>
        </w:rPr>
        <w:t>（</w:t>
      </w:r>
      <w:r>
        <w:rPr>
          <w:rFonts w:ascii="Times New Roman" w:hAnsi="Times New Roman"/>
          <w:color w:val="000000"/>
        </w:rPr>
        <w:t>5</w:t>
      </w:r>
      <w:r>
        <w:rPr>
          <w:rFonts w:hint="eastAsia" w:ascii="Times New Roman" w:hAnsi="Times New Roman"/>
          <w:color w:val="000000"/>
        </w:rPr>
        <w:t>）相对湿度：</w:t>
      </w:r>
    </w:p>
    <w:p w14:paraId="10CBA7F3">
      <w:pPr>
        <w:spacing w:line="300" w:lineRule="auto"/>
        <w:rPr>
          <w:rFonts w:ascii="Times New Roman" w:hAnsi="Times New Roman"/>
          <w:b/>
          <w:color w:val="000000"/>
        </w:rPr>
      </w:pPr>
      <w:r>
        <w:rPr>
          <w:rFonts w:hint="eastAsia" w:ascii="Times New Roman" w:hAnsi="Times New Roman"/>
          <w:b/>
          <w:color w:val="000000"/>
        </w:rPr>
        <w:t>二、现场施工条件：</w:t>
      </w:r>
    </w:p>
    <w:p w14:paraId="6FF6E0A7">
      <w:pPr>
        <w:pStyle w:val="7"/>
        <w:spacing w:after="0" w:line="300" w:lineRule="auto"/>
        <w:ind w:firstLine="600"/>
        <w:rPr>
          <w:rFonts w:ascii="Times New Roman" w:hAnsi="Times New Roman" w:eastAsia="等线"/>
          <w:color w:val="000000"/>
          <w:kern w:val="2"/>
          <w:sz w:val="21"/>
          <w:szCs w:val="22"/>
        </w:rPr>
      </w:pPr>
      <w:r>
        <w:rPr>
          <w:rFonts w:ascii="Times New Roman" w:hAnsi="Times New Roman" w:eastAsia="等线"/>
          <w:color w:val="000000"/>
          <w:kern w:val="2"/>
          <w:sz w:val="21"/>
          <w:szCs w:val="22"/>
        </w:rPr>
        <w:t>1</w:t>
      </w:r>
      <w:r>
        <w:rPr>
          <w:rFonts w:hint="eastAsia" w:ascii="Times New Roman" w:hAnsi="Times New Roman" w:eastAsia="等线"/>
          <w:color w:val="000000"/>
          <w:kern w:val="2"/>
          <w:sz w:val="21"/>
          <w:szCs w:val="22"/>
        </w:rPr>
        <w:t>．施工现场的</w:t>
      </w:r>
      <w:r>
        <w:rPr>
          <w:rFonts w:ascii="Times New Roman" w:hAnsi="Times New Roman" w:eastAsia="等线"/>
          <w:color w:val="000000"/>
          <w:kern w:val="2"/>
          <w:sz w:val="21"/>
          <w:szCs w:val="22"/>
        </w:rPr>
        <w:t>“</w:t>
      </w:r>
      <w:r>
        <w:rPr>
          <w:rFonts w:hint="eastAsia" w:ascii="Times New Roman" w:hAnsi="Times New Roman" w:eastAsia="等线"/>
          <w:color w:val="000000"/>
          <w:kern w:val="2"/>
          <w:sz w:val="21"/>
          <w:szCs w:val="22"/>
        </w:rPr>
        <w:t>三通一平</w:t>
      </w:r>
      <w:r>
        <w:rPr>
          <w:rFonts w:ascii="Times New Roman" w:hAnsi="Times New Roman" w:eastAsia="等线"/>
          <w:color w:val="000000"/>
          <w:kern w:val="2"/>
          <w:sz w:val="21"/>
          <w:szCs w:val="22"/>
        </w:rPr>
        <w:t>”</w:t>
      </w:r>
      <w:r>
        <w:rPr>
          <w:rFonts w:hint="eastAsia" w:ascii="Times New Roman" w:hAnsi="Times New Roman" w:eastAsia="等线"/>
          <w:color w:val="000000"/>
          <w:kern w:val="2"/>
          <w:sz w:val="21"/>
          <w:szCs w:val="22"/>
        </w:rPr>
        <w:t>工程未完成，现场施工需硬化的地面及临时道路，施工围挡等费用均含在报价内，承包人自行处理，保证施工及施工材料顺利进场。</w:t>
      </w:r>
    </w:p>
    <w:p w14:paraId="6D155C87">
      <w:pPr>
        <w:pStyle w:val="7"/>
        <w:spacing w:after="0" w:line="300" w:lineRule="auto"/>
        <w:ind w:firstLine="600"/>
        <w:rPr>
          <w:rFonts w:ascii="Times New Roman" w:hAnsi="Times New Roman" w:eastAsia="等线"/>
          <w:color w:val="000000"/>
          <w:kern w:val="2"/>
          <w:sz w:val="21"/>
          <w:szCs w:val="22"/>
        </w:rPr>
      </w:pPr>
      <w:r>
        <w:rPr>
          <w:rFonts w:ascii="Times New Roman" w:hAnsi="Times New Roman" w:eastAsia="等线"/>
          <w:color w:val="000000"/>
          <w:kern w:val="2"/>
          <w:sz w:val="21"/>
          <w:szCs w:val="22"/>
        </w:rPr>
        <w:t>2</w:t>
      </w:r>
      <w:r>
        <w:rPr>
          <w:rFonts w:hint="eastAsia" w:ascii="Times New Roman" w:hAnsi="Times New Roman" w:eastAsia="等线"/>
          <w:color w:val="000000"/>
          <w:kern w:val="2"/>
          <w:sz w:val="21"/>
          <w:szCs w:val="22"/>
        </w:rPr>
        <w:t>．临时设施由承包人自行建设，费用自理。</w:t>
      </w:r>
    </w:p>
    <w:p w14:paraId="678B9C9A">
      <w:pPr>
        <w:pStyle w:val="7"/>
        <w:spacing w:after="0" w:line="300" w:lineRule="auto"/>
        <w:ind w:firstLine="600"/>
        <w:rPr>
          <w:rFonts w:ascii="Times New Roman" w:hAnsi="Times New Roman" w:eastAsia="等线"/>
          <w:color w:val="000000"/>
          <w:kern w:val="2"/>
          <w:sz w:val="21"/>
          <w:szCs w:val="22"/>
        </w:rPr>
      </w:pPr>
      <w:r>
        <w:rPr>
          <w:rFonts w:ascii="Times New Roman" w:hAnsi="Times New Roman" w:eastAsia="等线"/>
          <w:color w:val="000000"/>
          <w:kern w:val="2"/>
          <w:sz w:val="21"/>
          <w:szCs w:val="22"/>
        </w:rPr>
        <w:t>3</w:t>
      </w:r>
      <w:r>
        <w:rPr>
          <w:rFonts w:hint="eastAsia" w:ascii="Times New Roman" w:hAnsi="Times New Roman" w:eastAsia="等线"/>
          <w:color w:val="000000"/>
          <w:kern w:val="2"/>
          <w:sz w:val="21"/>
          <w:szCs w:val="22"/>
        </w:rPr>
        <w:t>．施工用电：由发包人提供电源，承包人所需的电缆、配电盘等费用由承包方自理，自行安装合格的电表计量，按计量数量缴纳电费，将发生的所有费用计入报价内，实际所用费用由承包方自行承担，按合同约定的实际价格计算，在工程结算款中扣回。</w:t>
      </w:r>
    </w:p>
    <w:p w14:paraId="7203BFFF">
      <w:pPr>
        <w:spacing w:line="300" w:lineRule="auto"/>
        <w:rPr>
          <w:rFonts w:ascii="Times New Roman" w:hAnsi="Times New Roman"/>
          <w:color w:val="000000"/>
        </w:rPr>
      </w:pPr>
      <w:r>
        <w:rPr>
          <w:rFonts w:ascii="Times New Roman" w:hAnsi="Times New Roman"/>
          <w:color w:val="000000"/>
        </w:rPr>
        <w:t xml:space="preserve">     4.</w:t>
      </w:r>
      <w:r>
        <w:rPr>
          <w:rFonts w:hint="eastAsia" w:ascii="Times New Roman" w:hAnsi="Times New Roman"/>
          <w:color w:val="000000"/>
        </w:rPr>
        <w:t xml:space="preserve"> 施工用水：由发包人提供水源，施工现场所需的水管、水表等费用由承包人自理，自行安装合格的水表计量，实际所用费用由承包方自行承担，按合同约定的实际价格计算，在工程结算款中扣回。</w:t>
      </w:r>
    </w:p>
    <w:p w14:paraId="14E983BD">
      <w:pPr>
        <w:numPr>
          <w:ilvl w:val="0"/>
          <w:numId w:val="7"/>
        </w:numPr>
        <w:spacing w:line="300" w:lineRule="auto"/>
        <w:rPr>
          <w:rFonts w:ascii="Times New Roman" w:hAnsi="Times New Roman"/>
          <w:b/>
          <w:color w:val="000000"/>
        </w:rPr>
      </w:pPr>
      <w:r>
        <w:rPr>
          <w:rFonts w:hint="eastAsia" w:ascii="Times New Roman" w:hAnsi="Times New Roman"/>
          <w:b/>
          <w:color w:val="000000"/>
        </w:rPr>
        <w:t>本工程采用的技术规范</w:t>
      </w:r>
    </w:p>
    <w:p w14:paraId="1BD76265">
      <w:pPr>
        <w:spacing w:line="300" w:lineRule="auto"/>
        <w:ind w:firstLine="525" w:firstLineChars="250"/>
        <w:rPr>
          <w:rFonts w:ascii="Times New Roman" w:hAnsi="Times New Roman"/>
          <w:color w:val="000000"/>
        </w:rPr>
      </w:pPr>
      <w:r>
        <w:rPr>
          <w:rFonts w:hint="eastAsia" w:ascii="Times New Roman" w:hAnsi="Times New Roman"/>
          <w:color w:val="000000"/>
        </w:rPr>
        <w:t>本工程采用的施工及验收技术规范、标准以现行为准。</w:t>
      </w:r>
    </w:p>
    <w:p w14:paraId="4D8C23DC">
      <w:pPr>
        <w:spacing w:line="300" w:lineRule="auto"/>
        <w:ind w:firstLine="800" w:firstLineChars="250"/>
        <w:jc w:val="center"/>
        <w:outlineLvl w:val="0"/>
        <w:rPr>
          <w:rFonts w:ascii="Times New Roman" w:hAnsi="Times New Roman" w:eastAsia="黑体"/>
          <w:b/>
          <w:color w:val="000000"/>
          <w:sz w:val="44"/>
          <w:szCs w:val="44"/>
        </w:rPr>
      </w:pPr>
      <w:r>
        <w:rPr>
          <w:rFonts w:ascii="仿宋_GB2312" w:hAnsi="仿宋_GB2312" w:eastAsia="仿宋_GB2312" w:cs="仿宋_GB2312"/>
          <w:color w:val="0F1115"/>
          <w:sz w:val="32"/>
          <w:szCs w:val="32"/>
          <w:shd w:val="clear" w:color="auto" w:fill="FFFFFF"/>
        </w:rPr>
        <w:br w:type="page"/>
      </w:r>
      <w:bookmarkStart w:id="663" w:name="_Toc18432"/>
      <w:r>
        <w:rPr>
          <w:rFonts w:ascii="Times New Roman" w:hAnsi="Times New Roman" w:eastAsia="黑体"/>
          <w:b/>
          <w:color w:val="000000"/>
          <w:sz w:val="44"/>
          <w:szCs w:val="44"/>
        </w:rPr>
        <w:t>第</w:t>
      </w:r>
      <w:r>
        <w:rPr>
          <w:rFonts w:hint="eastAsia" w:ascii="Times New Roman" w:hAnsi="Times New Roman" w:eastAsia="黑体"/>
          <w:b/>
          <w:color w:val="000000"/>
          <w:sz w:val="44"/>
          <w:szCs w:val="44"/>
        </w:rPr>
        <w:t>六</w:t>
      </w:r>
      <w:r>
        <w:rPr>
          <w:rFonts w:ascii="Times New Roman" w:hAnsi="Times New Roman" w:eastAsia="黑体"/>
          <w:b/>
          <w:color w:val="000000"/>
          <w:sz w:val="44"/>
          <w:szCs w:val="44"/>
        </w:rPr>
        <w:t>章 投标文件格式</w:t>
      </w:r>
      <w:bookmarkEnd w:id="663"/>
    </w:p>
    <w:p w14:paraId="63E52070">
      <w:pPr>
        <w:autoSpaceDE w:val="0"/>
        <w:autoSpaceDN w:val="0"/>
        <w:adjustRightInd w:val="0"/>
        <w:spacing w:line="300" w:lineRule="auto"/>
        <w:ind w:firstLine="3360" w:firstLineChars="1400"/>
        <w:jc w:val="left"/>
        <w:rPr>
          <w:rFonts w:ascii="Times New Roman" w:hAnsi="Times New Roman" w:eastAsia="黑体"/>
          <w:color w:val="000000"/>
          <w:kern w:val="0"/>
          <w:sz w:val="24"/>
          <w:shd w:val="clear" w:color="auto" w:fill="FFFFFF"/>
        </w:rPr>
      </w:pPr>
    </w:p>
    <w:p w14:paraId="2BA6F4A7">
      <w:pPr>
        <w:autoSpaceDE w:val="0"/>
        <w:autoSpaceDN w:val="0"/>
        <w:adjustRightInd w:val="0"/>
        <w:spacing w:line="300" w:lineRule="auto"/>
        <w:ind w:firstLine="6160" w:firstLineChars="1400"/>
        <w:jc w:val="right"/>
        <w:rPr>
          <w:rFonts w:ascii="Times New Roman" w:hAnsi="Times New Roman" w:eastAsia="黑体"/>
          <w:color w:val="000000"/>
          <w:kern w:val="0"/>
          <w:sz w:val="44"/>
          <w:szCs w:val="44"/>
        </w:rPr>
      </w:pPr>
      <w:r>
        <w:rPr>
          <w:rFonts w:ascii="Times New Roman" w:hAnsi="Times New Roman" w:eastAsia="黑体"/>
          <w:color w:val="000000"/>
          <w:kern w:val="0"/>
          <w:sz w:val="44"/>
          <w:szCs w:val="44"/>
          <w:bdr w:val="single" w:color="auto" w:sz="4" w:space="0"/>
        </w:rPr>
        <w:t>正本/副本</w:t>
      </w:r>
    </w:p>
    <w:p w14:paraId="1B76D256">
      <w:pPr>
        <w:spacing w:line="300" w:lineRule="auto"/>
        <w:rPr>
          <w:rFonts w:ascii="Times New Roman" w:hAnsi="Times New Roman"/>
          <w:color w:val="000000"/>
          <w:szCs w:val="21"/>
        </w:rPr>
      </w:pPr>
    </w:p>
    <w:p w14:paraId="0E3CE021">
      <w:pPr>
        <w:spacing w:line="300" w:lineRule="auto"/>
        <w:jc w:val="center"/>
        <w:rPr>
          <w:rFonts w:ascii="Times New Roman" w:hAnsi="Times New Roman" w:eastAsia="黑体"/>
          <w:color w:val="000000"/>
          <w:sz w:val="36"/>
          <w:szCs w:val="36"/>
        </w:rPr>
      </w:pPr>
      <w:r>
        <w:rPr>
          <w:rFonts w:ascii="Times New Roman" w:hAnsi="Times New Roman" w:eastAsia="黑体"/>
          <w:color w:val="000000"/>
          <w:sz w:val="36"/>
          <w:szCs w:val="36"/>
          <w:u w:val="single"/>
        </w:rPr>
        <w:t xml:space="preserve">                      </w:t>
      </w:r>
      <w:r>
        <w:rPr>
          <w:rFonts w:ascii="Times New Roman" w:hAnsi="Times New Roman" w:eastAsia="黑体"/>
          <w:color w:val="000000"/>
          <w:sz w:val="36"/>
          <w:szCs w:val="36"/>
        </w:rPr>
        <w:t>（项目名称）施工招标</w:t>
      </w:r>
    </w:p>
    <w:p w14:paraId="0299EA45">
      <w:pPr>
        <w:spacing w:line="300" w:lineRule="auto"/>
        <w:rPr>
          <w:rFonts w:ascii="Times New Roman" w:hAnsi="Times New Roman"/>
          <w:b/>
          <w:color w:val="000000"/>
          <w:szCs w:val="21"/>
        </w:rPr>
      </w:pPr>
    </w:p>
    <w:p w14:paraId="198B6A06">
      <w:pPr>
        <w:spacing w:line="300" w:lineRule="auto"/>
        <w:jc w:val="center"/>
        <w:rPr>
          <w:rFonts w:ascii="Times New Roman" w:hAnsi="Times New Roman"/>
          <w:b/>
          <w:color w:val="000000"/>
          <w:szCs w:val="21"/>
        </w:rPr>
      </w:pPr>
    </w:p>
    <w:p w14:paraId="1AAE39F6">
      <w:pPr>
        <w:spacing w:line="300" w:lineRule="auto"/>
        <w:rPr>
          <w:rFonts w:ascii="Times New Roman" w:hAnsi="Times New Roman"/>
          <w:b/>
          <w:color w:val="000000"/>
          <w:szCs w:val="21"/>
        </w:rPr>
      </w:pPr>
    </w:p>
    <w:p w14:paraId="4F2642EE">
      <w:pPr>
        <w:spacing w:line="300" w:lineRule="auto"/>
        <w:rPr>
          <w:rFonts w:ascii="Times New Roman" w:hAnsi="Times New Roman"/>
          <w:b/>
          <w:color w:val="000000"/>
          <w:szCs w:val="21"/>
        </w:rPr>
      </w:pPr>
    </w:p>
    <w:p w14:paraId="3B154F4A">
      <w:pPr>
        <w:spacing w:line="300" w:lineRule="auto"/>
        <w:rPr>
          <w:rFonts w:ascii="Times New Roman" w:hAnsi="Times New Roman"/>
          <w:b/>
          <w:color w:val="000000"/>
          <w:szCs w:val="21"/>
        </w:rPr>
      </w:pPr>
    </w:p>
    <w:p w14:paraId="4F6B05A4">
      <w:pPr>
        <w:spacing w:line="300" w:lineRule="auto"/>
        <w:rPr>
          <w:rFonts w:ascii="Times New Roman" w:hAnsi="Times New Roman"/>
          <w:b/>
          <w:color w:val="000000"/>
          <w:szCs w:val="21"/>
        </w:rPr>
      </w:pPr>
    </w:p>
    <w:p w14:paraId="5BF1C152">
      <w:pPr>
        <w:spacing w:line="300" w:lineRule="auto"/>
        <w:jc w:val="center"/>
        <w:rPr>
          <w:rFonts w:ascii="Times New Roman" w:hAnsi="Times New Roman" w:eastAsia="黑体"/>
          <w:color w:val="000000"/>
          <w:sz w:val="72"/>
          <w:szCs w:val="72"/>
        </w:rPr>
      </w:pPr>
      <w:r>
        <w:rPr>
          <w:rFonts w:hint="eastAsia" w:ascii="Times New Roman" w:hAnsi="Times New Roman" w:eastAsia="黑体"/>
          <w:color w:val="000000"/>
          <w:sz w:val="72"/>
          <w:szCs w:val="72"/>
        </w:rPr>
        <w:t xml:space="preserve">A 包 </w:t>
      </w:r>
      <w:r>
        <w:rPr>
          <w:rFonts w:ascii="Times New Roman" w:hAnsi="Times New Roman" w:eastAsia="黑体"/>
          <w:color w:val="000000"/>
          <w:sz w:val="72"/>
          <w:szCs w:val="72"/>
        </w:rPr>
        <w:t>投 标 文 件</w:t>
      </w:r>
    </w:p>
    <w:p w14:paraId="6D7FB289">
      <w:pPr>
        <w:spacing w:line="300" w:lineRule="auto"/>
        <w:rPr>
          <w:rFonts w:ascii="Times New Roman" w:hAnsi="Times New Roman"/>
          <w:b/>
          <w:color w:val="000000"/>
          <w:szCs w:val="21"/>
        </w:rPr>
      </w:pPr>
    </w:p>
    <w:p w14:paraId="68686C4E">
      <w:pPr>
        <w:spacing w:line="300" w:lineRule="auto"/>
        <w:rPr>
          <w:rFonts w:ascii="Times New Roman" w:hAnsi="Times New Roman"/>
          <w:color w:val="000000"/>
          <w:szCs w:val="21"/>
        </w:rPr>
      </w:pPr>
    </w:p>
    <w:p w14:paraId="4068018F">
      <w:pPr>
        <w:spacing w:line="300" w:lineRule="auto"/>
        <w:rPr>
          <w:rFonts w:ascii="Times New Roman" w:hAnsi="Times New Roman"/>
          <w:color w:val="000000"/>
          <w:szCs w:val="21"/>
        </w:rPr>
      </w:pPr>
    </w:p>
    <w:p w14:paraId="3DBBABFC">
      <w:pPr>
        <w:spacing w:line="300" w:lineRule="auto"/>
        <w:rPr>
          <w:rFonts w:ascii="Times New Roman" w:hAnsi="Times New Roman"/>
          <w:color w:val="000000"/>
          <w:szCs w:val="21"/>
        </w:rPr>
      </w:pPr>
    </w:p>
    <w:p w14:paraId="73A389D0">
      <w:pPr>
        <w:spacing w:line="300" w:lineRule="auto"/>
        <w:rPr>
          <w:rFonts w:ascii="Times New Roman" w:hAnsi="Times New Roman"/>
          <w:color w:val="000000"/>
          <w:szCs w:val="21"/>
        </w:rPr>
      </w:pPr>
    </w:p>
    <w:p w14:paraId="037975AC">
      <w:pPr>
        <w:spacing w:line="300" w:lineRule="auto"/>
        <w:rPr>
          <w:rFonts w:ascii="Times New Roman" w:hAnsi="Times New Roman"/>
          <w:color w:val="000000"/>
          <w:szCs w:val="21"/>
        </w:rPr>
      </w:pPr>
    </w:p>
    <w:p w14:paraId="329A5A31">
      <w:pPr>
        <w:spacing w:line="300" w:lineRule="auto"/>
        <w:rPr>
          <w:rFonts w:ascii="Times New Roman" w:hAnsi="Times New Roman"/>
          <w:color w:val="000000"/>
          <w:szCs w:val="21"/>
        </w:rPr>
      </w:pPr>
    </w:p>
    <w:p w14:paraId="1898A46A">
      <w:pPr>
        <w:spacing w:line="300" w:lineRule="auto"/>
        <w:rPr>
          <w:rFonts w:ascii="Times New Roman" w:hAnsi="Times New Roman"/>
          <w:color w:val="000000"/>
          <w:szCs w:val="21"/>
        </w:rPr>
      </w:pPr>
    </w:p>
    <w:p w14:paraId="6CC8A6A9">
      <w:pPr>
        <w:spacing w:line="300" w:lineRule="auto"/>
        <w:ind w:firstLine="140" w:firstLineChars="50"/>
        <w:rPr>
          <w:rFonts w:ascii="Times New Roman" w:hAnsi="Times New Roman" w:eastAsia="黑体"/>
          <w:color w:val="000000"/>
          <w:sz w:val="28"/>
          <w:szCs w:val="28"/>
          <w:u w:val="single"/>
        </w:rPr>
      </w:pPr>
      <w:r>
        <w:rPr>
          <w:rFonts w:ascii="Times New Roman" w:hAnsi="Times New Roman" w:eastAsia="黑体"/>
          <w:color w:val="000000"/>
          <w:sz w:val="28"/>
          <w:szCs w:val="28"/>
        </w:rPr>
        <w:t>投标人：</w:t>
      </w: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（盖单位公章）</w:t>
      </w:r>
    </w:p>
    <w:p w14:paraId="0932CFCA">
      <w:pPr>
        <w:spacing w:line="300" w:lineRule="auto"/>
        <w:jc w:val="center"/>
        <w:rPr>
          <w:rFonts w:ascii="Times New Roman" w:hAnsi="Times New Roman" w:eastAsia="黑体"/>
          <w:color w:val="000000"/>
          <w:sz w:val="28"/>
          <w:szCs w:val="28"/>
        </w:rPr>
      </w:pPr>
      <w:r>
        <w:rPr>
          <w:rFonts w:ascii="Times New Roman" w:hAnsi="Times New Roman" w:eastAsia="黑体"/>
          <w:color w:val="000000"/>
          <w:sz w:val="28"/>
          <w:szCs w:val="28"/>
        </w:rPr>
        <w:t>法定代表人或其委托代理人：</w:t>
      </w: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（签字或盖章）</w:t>
      </w:r>
    </w:p>
    <w:p w14:paraId="516D2EB7">
      <w:pPr>
        <w:spacing w:line="300" w:lineRule="auto"/>
        <w:jc w:val="center"/>
        <w:rPr>
          <w:rFonts w:ascii="Times New Roman" w:hAnsi="Times New Roman" w:eastAsia="黑体"/>
          <w:color w:val="000000"/>
          <w:sz w:val="28"/>
          <w:szCs w:val="28"/>
          <w:u w:val="single"/>
        </w:rPr>
      </w:pPr>
    </w:p>
    <w:p w14:paraId="20B56BF5">
      <w:pPr>
        <w:spacing w:line="300" w:lineRule="auto"/>
        <w:jc w:val="center"/>
        <w:rPr>
          <w:rFonts w:ascii="Times New Roman" w:hAnsi="Times New Roman" w:eastAsia="黑体"/>
          <w:color w:val="000000"/>
          <w:sz w:val="28"/>
          <w:szCs w:val="28"/>
        </w:rPr>
      </w:pP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 xml:space="preserve">年 </w:t>
      </w: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 xml:space="preserve"> 月  </w:t>
      </w: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日</w:t>
      </w:r>
    </w:p>
    <w:p w14:paraId="1F170BF0">
      <w:pPr>
        <w:autoSpaceDE w:val="0"/>
        <w:autoSpaceDN w:val="0"/>
        <w:adjustRightInd w:val="0"/>
        <w:spacing w:line="300" w:lineRule="auto"/>
        <w:jc w:val="left"/>
        <w:rPr>
          <w:rFonts w:ascii="Times New Roman" w:hAnsi="Times New Roman" w:eastAsia="黑体"/>
          <w:color w:val="000000"/>
          <w:kern w:val="0"/>
          <w:sz w:val="24"/>
          <w:shd w:val="clear" w:color="auto" w:fill="FFFFFF"/>
        </w:rPr>
      </w:pPr>
      <w:bookmarkStart w:id="664" w:name="_Toc179632808"/>
    </w:p>
    <w:p w14:paraId="0519A57F">
      <w:pPr>
        <w:rPr>
          <w:rFonts w:ascii="Times New Roman" w:hAnsi="Times New Roman" w:eastAsia="黑体"/>
          <w:color w:val="000000"/>
          <w:kern w:val="0"/>
          <w:sz w:val="24"/>
          <w:shd w:val="clear" w:color="auto" w:fill="FFFFFF"/>
        </w:rPr>
      </w:pPr>
      <w:r>
        <w:rPr>
          <w:rFonts w:ascii="Times New Roman" w:hAnsi="Times New Roman" w:eastAsia="黑体"/>
          <w:color w:val="000000"/>
          <w:kern w:val="0"/>
          <w:sz w:val="24"/>
          <w:shd w:val="clear" w:color="auto" w:fill="FFFFFF"/>
        </w:rPr>
        <w:br w:type="page"/>
      </w:r>
    </w:p>
    <w:p w14:paraId="4AC518B5">
      <w:pPr>
        <w:pStyle w:val="3"/>
        <w:spacing w:before="0" w:after="0" w:line="300" w:lineRule="auto"/>
        <w:jc w:val="center"/>
        <w:rPr>
          <w:rFonts w:ascii="Times New Roman" w:hAnsi="Times New Roman"/>
          <w:color w:val="000000"/>
        </w:rPr>
      </w:pPr>
      <w:bookmarkStart w:id="665" w:name="_Toc4462"/>
      <w:bookmarkStart w:id="666" w:name="_Toc10625"/>
      <w:r>
        <w:rPr>
          <w:rFonts w:hint="eastAsia" w:ascii="Times New Roman" w:hAnsi="Times New Roman"/>
          <w:color w:val="000000"/>
        </w:rPr>
        <w:t>目</w:t>
      </w:r>
      <w:r>
        <w:rPr>
          <w:rFonts w:ascii="Times New Roman" w:hAnsi="Times New Roman"/>
          <w:color w:val="000000"/>
        </w:rPr>
        <w:t xml:space="preserve">    </w:t>
      </w:r>
      <w:r>
        <w:rPr>
          <w:rFonts w:hint="eastAsia" w:ascii="Times New Roman" w:hAnsi="Times New Roman"/>
          <w:color w:val="000000"/>
        </w:rPr>
        <w:t>录</w:t>
      </w:r>
      <w:bookmarkEnd w:id="665"/>
      <w:bookmarkEnd w:id="666"/>
    </w:p>
    <w:p w14:paraId="265D9FE6">
      <w:pPr>
        <w:spacing w:line="300" w:lineRule="auto"/>
        <w:rPr>
          <w:rFonts w:ascii="Times New Roman" w:hAnsi="Times New Roman"/>
          <w:color w:val="000000"/>
        </w:rPr>
      </w:pPr>
    </w:p>
    <w:p w14:paraId="49DFDFA9">
      <w:pPr>
        <w:spacing w:line="360" w:lineRule="auto"/>
        <w:ind w:firstLine="480" w:firstLineChars="200"/>
        <w:rPr>
          <w:rFonts w:ascii="宋体" w:hAnsi="宋体" w:cs="仿宋"/>
          <w:sz w:val="24"/>
        </w:rPr>
      </w:pPr>
      <w:r>
        <w:rPr>
          <w:rFonts w:hint="eastAsia" w:ascii="宋体" w:hAnsi="宋体" w:cs="仿宋"/>
          <w:sz w:val="24"/>
        </w:rPr>
        <w:t>1、投标函</w:t>
      </w:r>
    </w:p>
    <w:p w14:paraId="493B05C4">
      <w:pPr>
        <w:spacing w:line="360" w:lineRule="auto"/>
        <w:ind w:firstLine="480" w:firstLineChars="200"/>
        <w:rPr>
          <w:rFonts w:ascii="宋体" w:hAnsi="宋体" w:cs="仿宋"/>
          <w:sz w:val="24"/>
        </w:rPr>
      </w:pPr>
      <w:r>
        <w:rPr>
          <w:rFonts w:hint="eastAsia" w:ascii="宋体" w:hAnsi="宋体" w:cs="仿宋"/>
          <w:sz w:val="24"/>
        </w:rPr>
        <w:t>2、法定代表人身份证明</w:t>
      </w:r>
    </w:p>
    <w:p w14:paraId="653F0A69">
      <w:pPr>
        <w:spacing w:line="360" w:lineRule="auto"/>
        <w:ind w:firstLine="480" w:firstLineChars="200"/>
        <w:rPr>
          <w:rFonts w:ascii="宋体" w:hAnsi="宋体" w:cs="仿宋"/>
          <w:sz w:val="24"/>
        </w:rPr>
      </w:pPr>
      <w:r>
        <w:rPr>
          <w:rFonts w:hint="eastAsia" w:ascii="宋体" w:hAnsi="宋体" w:cs="仿宋"/>
          <w:sz w:val="24"/>
        </w:rPr>
        <w:t>3、授权委托书</w:t>
      </w:r>
    </w:p>
    <w:p w14:paraId="14C02BA7">
      <w:pPr>
        <w:spacing w:line="360" w:lineRule="auto"/>
        <w:ind w:firstLine="480" w:firstLineChars="200"/>
        <w:rPr>
          <w:rFonts w:ascii="宋体" w:hAnsi="宋体" w:cs="仿宋"/>
          <w:sz w:val="24"/>
        </w:rPr>
      </w:pPr>
      <w:r>
        <w:rPr>
          <w:rFonts w:hint="eastAsia" w:ascii="宋体" w:hAnsi="宋体" w:cs="仿宋"/>
          <w:sz w:val="24"/>
        </w:rPr>
        <w:t>4、资格审查资料</w:t>
      </w:r>
    </w:p>
    <w:p w14:paraId="50ABD254">
      <w:pPr>
        <w:spacing w:line="360" w:lineRule="auto"/>
        <w:ind w:firstLine="480" w:firstLineChars="200"/>
        <w:rPr>
          <w:rFonts w:ascii="宋体" w:hAnsi="宋体" w:cs="仿宋"/>
          <w:sz w:val="24"/>
        </w:rPr>
      </w:pPr>
      <w:r>
        <w:rPr>
          <w:rFonts w:hint="eastAsia" w:ascii="宋体" w:hAnsi="宋体" w:cs="仿宋"/>
          <w:sz w:val="24"/>
        </w:rPr>
        <w:t>5、报价表</w:t>
      </w:r>
    </w:p>
    <w:p w14:paraId="1DAF8FD3">
      <w:pPr>
        <w:spacing w:line="360" w:lineRule="auto"/>
        <w:ind w:firstLine="480" w:firstLineChars="200"/>
        <w:rPr>
          <w:rFonts w:ascii="宋体" w:hAnsi="宋体" w:cs="仿宋"/>
          <w:sz w:val="24"/>
        </w:rPr>
      </w:pPr>
      <w:r>
        <w:rPr>
          <w:rFonts w:hint="eastAsia" w:ascii="宋体" w:hAnsi="宋体" w:cs="仿宋"/>
          <w:sz w:val="24"/>
        </w:rPr>
        <w:t>6、商务或技术偏差表</w:t>
      </w:r>
    </w:p>
    <w:p w14:paraId="2B15D7AB">
      <w:pPr>
        <w:spacing w:line="360" w:lineRule="auto"/>
        <w:ind w:firstLine="480" w:firstLineChars="200"/>
        <w:rPr>
          <w:rFonts w:ascii="宋体" w:hAnsi="宋体" w:cs="仿宋"/>
          <w:sz w:val="24"/>
        </w:rPr>
      </w:pPr>
      <w:r>
        <w:rPr>
          <w:rFonts w:hint="eastAsia" w:cs="仿宋"/>
          <w:sz w:val="24"/>
        </w:rPr>
        <w:t>7</w:t>
      </w:r>
      <w:r>
        <w:rPr>
          <w:rFonts w:hint="eastAsia" w:ascii="宋体" w:hAnsi="宋体" w:cs="仿宋"/>
          <w:sz w:val="24"/>
        </w:rPr>
        <w:t>、</w:t>
      </w:r>
      <w:r>
        <w:rPr>
          <w:rFonts w:hint="eastAsia" w:cs="仿宋"/>
          <w:sz w:val="24"/>
        </w:rPr>
        <w:t>投标人</w:t>
      </w:r>
      <w:r>
        <w:rPr>
          <w:rFonts w:hint="eastAsia" w:ascii="宋体" w:hAnsi="宋体" w:cs="仿宋"/>
          <w:sz w:val="24"/>
        </w:rPr>
        <w:t>认为应补充的其它资料</w:t>
      </w:r>
    </w:p>
    <w:p w14:paraId="61760D41">
      <w:pPr>
        <w:jc w:val="center"/>
        <w:rPr>
          <w:color w:val="000000"/>
          <w:sz w:val="24"/>
        </w:rPr>
      </w:pPr>
      <w:r>
        <w:rPr>
          <w:rFonts w:ascii="Times New Roman" w:hAnsi="Times New Roman" w:eastAsia="黑体"/>
          <w:color w:val="000000"/>
          <w:kern w:val="0"/>
          <w:sz w:val="24"/>
          <w:shd w:val="clear" w:color="auto" w:fill="FFFFFF"/>
        </w:rPr>
        <w:br w:type="page"/>
      </w:r>
      <w:r>
        <w:rPr>
          <w:rFonts w:hint="eastAsia"/>
          <w:b/>
          <w:bCs/>
          <w:color w:val="000000"/>
          <w:sz w:val="32"/>
          <w:szCs w:val="32"/>
        </w:rPr>
        <w:t>1、投标函</w:t>
      </w:r>
    </w:p>
    <w:p w14:paraId="32AA606D">
      <w:pPr>
        <w:spacing w:line="300" w:lineRule="auto"/>
        <w:rPr>
          <w:rFonts w:ascii="Times New Roman" w:hAnsi="Times New Roman"/>
          <w:color w:val="000000"/>
          <w:szCs w:val="21"/>
        </w:rPr>
      </w:pPr>
      <w:r>
        <w:rPr>
          <w:rFonts w:ascii="Times New Roman" w:hAnsi="Times New Roman"/>
          <w:color w:val="000000"/>
          <w:szCs w:val="21"/>
          <w:u w:val="single"/>
        </w:rPr>
        <w:t xml:space="preserve">                        </w:t>
      </w:r>
      <w:r>
        <w:rPr>
          <w:rFonts w:ascii="Times New Roman" w:hAnsi="Times New Roman"/>
          <w:color w:val="000000"/>
          <w:szCs w:val="21"/>
        </w:rPr>
        <w:t>（招标人名称）：</w:t>
      </w:r>
    </w:p>
    <w:p w14:paraId="58AF29F9">
      <w:pPr>
        <w:numPr>
          <w:ilvl w:val="0"/>
          <w:numId w:val="8"/>
        </w:numPr>
        <w:spacing w:line="300" w:lineRule="auto"/>
        <w:ind w:firstLine="420" w:firstLineChars="200"/>
        <w:rPr>
          <w:rFonts w:ascii="Times New Roman" w:hAnsi="Times New Roman"/>
          <w:color w:val="000000"/>
          <w:szCs w:val="21"/>
        </w:rPr>
      </w:pPr>
      <w:r>
        <w:rPr>
          <w:rFonts w:ascii="Times New Roman" w:hAnsi="Times New Roman"/>
          <w:color w:val="000000"/>
          <w:szCs w:val="21"/>
        </w:rPr>
        <w:t>我方已仔细研究了</w:t>
      </w:r>
      <w:r>
        <w:rPr>
          <w:rFonts w:ascii="Times New Roman" w:hAnsi="Times New Roman"/>
          <w:color w:val="000000"/>
          <w:szCs w:val="21"/>
          <w:u w:val="single"/>
        </w:rPr>
        <w:t xml:space="preserve">   </w:t>
      </w:r>
      <w:r>
        <w:rPr>
          <w:rFonts w:ascii="Times New Roman" w:hAnsi="Times New Roman"/>
          <w:color w:val="000000"/>
          <w:szCs w:val="21"/>
        </w:rPr>
        <w:t>（项目名称）招标文件的全部内容，愿意以人民币（大写）</w:t>
      </w:r>
      <w:r>
        <w:rPr>
          <w:rFonts w:hint="eastAsia" w:ascii="Times New Roman" w:hAnsi="Times New Roman"/>
          <w:color w:val="000000"/>
          <w:szCs w:val="21"/>
        </w:rPr>
        <w:t xml:space="preserve">  </w:t>
      </w:r>
      <w:r>
        <w:rPr>
          <w:rFonts w:ascii="Times New Roman" w:hAnsi="Times New Roman"/>
          <w:color w:val="000000"/>
          <w:szCs w:val="21"/>
        </w:rPr>
        <w:t>（¥</w:t>
      </w:r>
      <w:r>
        <w:rPr>
          <w:rFonts w:ascii="Times New Roman" w:hAnsi="Times New Roman"/>
          <w:color w:val="000000"/>
          <w:szCs w:val="21"/>
          <w:u w:val="single"/>
        </w:rPr>
        <w:t xml:space="preserve">           </w:t>
      </w:r>
      <w:r>
        <w:rPr>
          <w:rFonts w:ascii="Times New Roman" w:hAnsi="Times New Roman"/>
          <w:color w:val="000000"/>
          <w:szCs w:val="21"/>
        </w:rPr>
        <w:t>）</w:t>
      </w:r>
      <w:r>
        <w:rPr>
          <w:rFonts w:hint="eastAsia" w:ascii="Times New Roman" w:hAnsi="Times New Roman"/>
          <w:color w:val="000000"/>
          <w:szCs w:val="21"/>
        </w:rPr>
        <w:t>（含专用增值税</w:t>
      </w:r>
      <w:r>
        <w:rPr>
          <w:rFonts w:hint="eastAsia" w:ascii="Times New Roman" w:hAnsi="Times New Roman"/>
          <w:color w:val="000000"/>
          <w:szCs w:val="21"/>
          <w:u w:val="single"/>
        </w:rPr>
        <w:t xml:space="preserve">   </w:t>
      </w:r>
      <w:r>
        <w:rPr>
          <w:rFonts w:hint="eastAsia" w:ascii="Times New Roman" w:hAnsi="Times New Roman"/>
          <w:color w:val="000000"/>
          <w:szCs w:val="21"/>
        </w:rPr>
        <w:t>%）</w:t>
      </w:r>
      <w:r>
        <w:rPr>
          <w:rFonts w:ascii="Times New Roman" w:hAnsi="Times New Roman"/>
          <w:color w:val="000000"/>
          <w:szCs w:val="21"/>
        </w:rPr>
        <w:t>的总报价，按合同约定</w:t>
      </w:r>
      <w:r>
        <w:rPr>
          <w:rFonts w:hint="eastAsia" w:ascii="Times New Roman" w:hAnsi="Times New Roman"/>
          <w:color w:val="000000"/>
          <w:szCs w:val="21"/>
        </w:rPr>
        <w:t>送货。</w:t>
      </w:r>
    </w:p>
    <w:p w14:paraId="716E4A18">
      <w:pPr>
        <w:numPr>
          <w:ilvl w:val="0"/>
          <w:numId w:val="8"/>
        </w:numPr>
        <w:spacing w:line="300" w:lineRule="auto"/>
        <w:ind w:firstLine="420" w:firstLineChars="200"/>
        <w:rPr>
          <w:rFonts w:ascii="Times New Roman" w:hAnsi="Times New Roman"/>
          <w:color w:val="000000"/>
          <w:szCs w:val="21"/>
        </w:rPr>
      </w:pPr>
      <w:r>
        <w:rPr>
          <w:rFonts w:ascii="Times New Roman" w:hAnsi="Times New Roman"/>
          <w:color w:val="000000"/>
          <w:szCs w:val="21"/>
        </w:rPr>
        <w:t>2．我方承诺在招标文件规定的投标有效期内不修改、撤销投标文件。</w:t>
      </w:r>
    </w:p>
    <w:p w14:paraId="7DF89CF0">
      <w:pPr>
        <w:spacing w:line="300" w:lineRule="auto"/>
        <w:ind w:firstLine="420" w:firstLineChars="200"/>
        <w:rPr>
          <w:rFonts w:ascii="Times New Roman" w:hAnsi="Times New Roman"/>
          <w:color w:val="000000"/>
          <w:szCs w:val="21"/>
        </w:rPr>
      </w:pPr>
      <w:r>
        <w:rPr>
          <w:rFonts w:ascii="Times New Roman" w:hAnsi="Times New Roman"/>
          <w:color w:val="000000"/>
          <w:szCs w:val="21"/>
        </w:rPr>
        <w:t>3．随同本投标函提交投标保证金一份，金额为人民币（大写）</w:t>
      </w:r>
      <w:r>
        <w:rPr>
          <w:rFonts w:ascii="Times New Roman" w:hAnsi="Times New Roman"/>
          <w:color w:val="000000"/>
          <w:szCs w:val="21"/>
          <w:u w:val="single"/>
        </w:rPr>
        <w:t xml:space="preserve">        </w:t>
      </w:r>
      <w:r>
        <w:rPr>
          <w:rFonts w:ascii="Times New Roman" w:hAnsi="Times New Roman"/>
          <w:color w:val="000000"/>
          <w:szCs w:val="21"/>
        </w:rPr>
        <w:t>（¥</w:t>
      </w:r>
      <w:r>
        <w:rPr>
          <w:rFonts w:ascii="Times New Roman" w:hAnsi="Times New Roman"/>
          <w:color w:val="000000"/>
          <w:szCs w:val="21"/>
          <w:u w:val="single"/>
        </w:rPr>
        <w:t xml:space="preserve">       </w:t>
      </w:r>
      <w:r>
        <w:rPr>
          <w:rFonts w:ascii="Times New Roman" w:hAnsi="Times New Roman"/>
          <w:color w:val="000000"/>
          <w:szCs w:val="21"/>
        </w:rPr>
        <w:t>）。</w:t>
      </w:r>
    </w:p>
    <w:p w14:paraId="21DA831D">
      <w:pPr>
        <w:spacing w:line="300" w:lineRule="auto"/>
        <w:ind w:firstLine="420" w:firstLineChars="200"/>
        <w:rPr>
          <w:rFonts w:ascii="Times New Roman" w:hAnsi="Times New Roman"/>
          <w:color w:val="000000"/>
          <w:szCs w:val="21"/>
        </w:rPr>
      </w:pPr>
      <w:r>
        <w:rPr>
          <w:rFonts w:ascii="Times New Roman" w:hAnsi="Times New Roman"/>
          <w:color w:val="000000"/>
          <w:szCs w:val="21"/>
        </w:rPr>
        <w:t>4．如我方中标：</w:t>
      </w:r>
    </w:p>
    <w:p w14:paraId="003F69F1">
      <w:pPr>
        <w:spacing w:line="300" w:lineRule="auto"/>
        <w:ind w:firstLine="718" w:firstLineChars="342"/>
        <w:rPr>
          <w:rFonts w:ascii="Times New Roman" w:hAnsi="Times New Roman"/>
          <w:color w:val="000000"/>
          <w:szCs w:val="21"/>
        </w:rPr>
      </w:pPr>
      <w:r>
        <w:rPr>
          <w:rFonts w:ascii="Times New Roman" w:hAnsi="Times New Roman"/>
          <w:color w:val="000000"/>
          <w:szCs w:val="21"/>
        </w:rPr>
        <w:t>（1）我方承诺在收到成交候选人后，在成交候选人规定的期限内与你方签订合同。</w:t>
      </w:r>
    </w:p>
    <w:p w14:paraId="7E409CAB">
      <w:pPr>
        <w:spacing w:line="300" w:lineRule="auto"/>
        <w:ind w:firstLine="718" w:firstLineChars="342"/>
        <w:rPr>
          <w:rFonts w:ascii="Times New Roman" w:hAnsi="Times New Roman"/>
          <w:color w:val="000000"/>
          <w:szCs w:val="21"/>
        </w:rPr>
      </w:pPr>
      <w:r>
        <w:rPr>
          <w:rFonts w:ascii="Times New Roman" w:hAnsi="Times New Roman"/>
          <w:color w:val="000000"/>
          <w:szCs w:val="21"/>
        </w:rPr>
        <w:t>（2）随同本投标函递交的投标函附录属于合同文件的组成部分。</w:t>
      </w:r>
    </w:p>
    <w:p w14:paraId="7318AF31">
      <w:pPr>
        <w:spacing w:line="300" w:lineRule="auto"/>
        <w:ind w:firstLine="718" w:firstLineChars="342"/>
        <w:rPr>
          <w:rFonts w:ascii="Times New Roman" w:hAnsi="Times New Roman"/>
          <w:color w:val="000000"/>
          <w:szCs w:val="21"/>
        </w:rPr>
      </w:pPr>
      <w:r>
        <w:rPr>
          <w:rFonts w:ascii="Times New Roman" w:hAnsi="Times New Roman"/>
          <w:color w:val="000000"/>
          <w:szCs w:val="21"/>
        </w:rPr>
        <w:t>（3）我方承诺按照招标文件规定向你方递交履约担保。</w:t>
      </w:r>
    </w:p>
    <w:p w14:paraId="682AEEA9">
      <w:pPr>
        <w:spacing w:line="300" w:lineRule="auto"/>
        <w:ind w:firstLine="718" w:firstLineChars="342"/>
        <w:rPr>
          <w:rFonts w:ascii="Times New Roman" w:hAnsi="Times New Roman"/>
          <w:color w:val="000000"/>
          <w:szCs w:val="21"/>
        </w:rPr>
      </w:pPr>
      <w:r>
        <w:rPr>
          <w:rFonts w:ascii="Times New Roman" w:hAnsi="Times New Roman"/>
          <w:color w:val="000000"/>
          <w:szCs w:val="21"/>
        </w:rPr>
        <w:t>（4）我方承诺在合同约定的期限内完成并移交全部合同工程。</w:t>
      </w:r>
    </w:p>
    <w:p w14:paraId="5F8526DE">
      <w:pPr>
        <w:spacing w:line="300" w:lineRule="auto"/>
        <w:ind w:firstLine="420" w:firstLineChars="200"/>
        <w:rPr>
          <w:rFonts w:ascii="Times New Roman" w:hAnsi="Times New Roman"/>
          <w:color w:val="000000"/>
        </w:rPr>
      </w:pPr>
      <w:r>
        <w:rPr>
          <w:rFonts w:ascii="Times New Roman" w:hAnsi="Times New Roman"/>
          <w:color w:val="000000"/>
          <w:szCs w:val="21"/>
        </w:rPr>
        <w:t>5．</w:t>
      </w:r>
      <w:r>
        <w:rPr>
          <w:rFonts w:ascii="Times New Roman" w:hAnsi="Times New Roman"/>
          <w:color w:val="000000"/>
        </w:rPr>
        <w:t>我方在此声明，所递交的投标文件及有关资料内容完整、真实和准确，且不存在第二章“须知”第1.4.2项和第1.4.3项规定的任何一种情形。</w:t>
      </w:r>
    </w:p>
    <w:p w14:paraId="76C68FEB">
      <w:pPr>
        <w:spacing w:line="300" w:lineRule="auto"/>
        <w:ind w:firstLine="420" w:firstLineChars="200"/>
        <w:rPr>
          <w:rFonts w:ascii="Times New Roman" w:hAnsi="Times New Roman"/>
          <w:color w:val="000000"/>
          <w:szCs w:val="21"/>
        </w:rPr>
      </w:pPr>
      <w:r>
        <w:rPr>
          <w:rFonts w:ascii="Times New Roman" w:hAnsi="Times New Roman"/>
          <w:color w:val="000000"/>
        </w:rPr>
        <w:t>6.</w:t>
      </w:r>
      <w:r>
        <w:rPr>
          <w:rFonts w:ascii="Times New Roman" w:hAnsi="Times New Roman" w:eastAsia="仿宋_GB2312"/>
          <w:color w:val="000000"/>
          <w:sz w:val="28"/>
        </w:rPr>
        <w:t xml:space="preserve"> </w:t>
      </w:r>
      <w:r>
        <w:rPr>
          <w:rFonts w:ascii="Times New Roman" w:hAnsi="Times New Roman"/>
          <w:color w:val="000000"/>
        </w:rPr>
        <w:t>我方承诺参加投标活动近三年内无违法犯罪及其它不良行为记录，如有经行政主管部门查实或通报的不良记录，我方放弃本次项目投标权利，并无条件承担相应后果和损失。</w:t>
      </w:r>
    </w:p>
    <w:p w14:paraId="6AA90C8F">
      <w:pPr>
        <w:spacing w:line="300" w:lineRule="auto"/>
        <w:ind w:firstLine="420" w:firstLineChars="200"/>
        <w:rPr>
          <w:rFonts w:ascii="Times New Roman" w:hAnsi="Times New Roman"/>
          <w:color w:val="000000"/>
          <w:szCs w:val="21"/>
        </w:rPr>
      </w:pPr>
      <w:r>
        <w:rPr>
          <w:rFonts w:ascii="Times New Roman" w:hAnsi="Times New Roman"/>
          <w:color w:val="000000"/>
          <w:szCs w:val="21"/>
        </w:rPr>
        <w:t>7．</w:t>
      </w:r>
      <w:r>
        <w:rPr>
          <w:rFonts w:ascii="Times New Roman" w:hAnsi="Times New Roman"/>
          <w:color w:val="000000"/>
          <w:szCs w:val="21"/>
          <w:u w:val="single"/>
        </w:rPr>
        <w:t xml:space="preserve">                                       </w:t>
      </w:r>
      <w:r>
        <w:rPr>
          <w:rFonts w:ascii="Times New Roman" w:hAnsi="Times New Roman"/>
          <w:color w:val="000000"/>
          <w:szCs w:val="21"/>
        </w:rPr>
        <w:t>（其他补充说明）。</w:t>
      </w:r>
    </w:p>
    <w:p w14:paraId="6F707637">
      <w:pPr>
        <w:spacing w:line="300" w:lineRule="auto"/>
        <w:ind w:firstLine="3675" w:firstLineChars="1750"/>
        <w:rPr>
          <w:rFonts w:ascii="Times New Roman" w:hAnsi="Times New Roman"/>
          <w:color w:val="000000"/>
          <w:szCs w:val="21"/>
        </w:rPr>
      </w:pPr>
      <w:r>
        <w:rPr>
          <w:rFonts w:ascii="Times New Roman" w:hAnsi="Times New Roman"/>
          <w:color w:val="000000"/>
          <w:szCs w:val="21"/>
        </w:rPr>
        <w:t>投标单位：</w:t>
      </w:r>
      <w:r>
        <w:rPr>
          <w:rFonts w:ascii="Times New Roman" w:hAnsi="Times New Roman"/>
          <w:color w:val="000000"/>
          <w:szCs w:val="21"/>
          <w:u w:val="single"/>
        </w:rPr>
        <w:t xml:space="preserve">                      </w:t>
      </w:r>
      <w:r>
        <w:rPr>
          <w:rFonts w:ascii="Times New Roman" w:hAnsi="Times New Roman"/>
          <w:color w:val="000000"/>
          <w:szCs w:val="21"/>
        </w:rPr>
        <w:t>（盖单位章）</w:t>
      </w:r>
    </w:p>
    <w:p w14:paraId="3C5CF1F7">
      <w:pPr>
        <w:spacing w:line="300" w:lineRule="auto"/>
        <w:ind w:firstLine="3675" w:firstLineChars="1750"/>
        <w:rPr>
          <w:rFonts w:ascii="Times New Roman" w:hAnsi="Times New Roman"/>
          <w:color w:val="000000"/>
          <w:szCs w:val="21"/>
        </w:rPr>
      </w:pPr>
      <w:r>
        <w:rPr>
          <w:rFonts w:ascii="Times New Roman" w:hAnsi="Times New Roman"/>
          <w:color w:val="000000"/>
          <w:szCs w:val="21"/>
        </w:rPr>
        <w:t>法定代表人：</w:t>
      </w:r>
      <w:r>
        <w:rPr>
          <w:rFonts w:ascii="Times New Roman" w:hAnsi="Times New Roman"/>
          <w:color w:val="000000"/>
          <w:szCs w:val="21"/>
          <w:u w:val="single"/>
        </w:rPr>
        <w:t xml:space="preserve">                    </w:t>
      </w:r>
      <w:r>
        <w:rPr>
          <w:rFonts w:ascii="Times New Roman" w:hAnsi="Times New Roman"/>
          <w:color w:val="000000"/>
          <w:szCs w:val="21"/>
        </w:rPr>
        <w:t>（签字并盖章）</w:t>
      </w:r>
    </w:p>
    <w:p w14:paraId="22148FC6">
      <w:pPr>
        <w:spacing w:line="300" w:lineRule="auto"/>
        <w:ind w:firstLine="3675" w:firstLineChars="1750"/>
        <w:rPr>
          <w:rFonts w:ascii="Times New Roman" w:hAnsi="Times New Roman"/>
          <w:color w:val="000000"/>
          <w:szCs w:val="21"/>
        </w:rPr>
      </w:pPr>
      <w:r>
        <w:rPr>
          <w:rFonts w:ascii="Times New Roman" w:hAnsi="Times New Roman"/>
          <w:color w:val="000000"/>
          <w:szCs w:val="21"/>
        </w:rPr>
        <w:t>委托代理人：</w:t>
      </w:r>
      <w:r>
        <w:rPr>
          <w:rFonts w:ascii="Times New Roman" w:hAnsi="Times New Roman"/>
          <w:color w:val="000000"/>
          <w:szCs w:val="21"/>
          <w:u w:val="single"/>
        </w:rPr>
        <w:t xml:space="preserve">                    </w:t>
      </w:r>
      <w:r>
        <w:rPr>
          <w:rFonts w:ascii="Times New Roman" w:hAnsi="Times New Roman"/>
          <w:color w:val="000000"/>
          <w:szCs w:val="21"/>
        </w:rPr>
        <w:t>（签字）</w:t>
      </w:r>
    </w:p>
    <w:p w14:paraId="1F94E3DB">
      <w:pPr>
        <w:spacing w:line="300" w:lineRule="auto"/>
        <w:ind w:firstLine="3675" w:firstLineChars="1750"/>
        <w:rPr>
          <w:rFonts w:ascii="Times New Roman" w:hAnsi="Times New Roman"/>
          <w:color w:val="000000"/>
          <w:szCs w:val="21"/>
        </w:rPr>
      </w:pPr>
      <w:r>
        <w:rPr>
          <w:rFonts w:ascii="Times New Roman" w:hAnsi="Times New Roman"/>
          <w:color w:val="000000"/>
          <w:szCs w:val="21"/>
        </w:rPr>
        <w:t>地址：</w:t>
      </w:r>
      <w:r>
        <w:rPr>
          <w:rFonts w:ascii="Times New Roman" w:hAnsi="Times New Roman"/>
          <w:color w:val="000000"/>
          <w:szCs w:val="21"/>
          <w:u w:val="single"/>
        </w:rPr>
        <w:t xml:space="preserve">                                     </w:t>
      </w:r>
    </w:p>
    <w:p w14:paraId="1D1ABC2A">
      <w:pPr>
        <w:spacing w:line="300" w:lineRule="auto"/>
        <w:ind w:firstLine="3675" w:firstLineChars="1750"/>
        <w:rPr>
          <w:rFonts w:ascii="Times New Roman" w:hAnsi="Times New Roman"/>
          <w:color w:val="000000"/>
          <w:szCs w:val="21"/>
        </w:rPr>
      </w:pPr>
      <w:r>
        <w:rPr>
          <w:rFonts w:ascii="Times New Roman" w:hAnsi="Times New Roman"/>
          <w:color w:val="000000"/>
          <w:szCs w:val="21"/>
        </w:rPr>
        <w:t>电话：</w:t>
      </w:r>
      <w:r>
        <w:rPr>
          <w:rFonts w:ascii="Times New Roman" w:hAnsi="Times New Roman"/>
          <w:color w:val="000000"/>
          <w:szCs w:val="21"/>
          <w:u w:val="single"/>
        </w:rPr>
        <w:t xml:space="preserve">                                     </w:t>
      </w:r>
    </w:p>
    <w:p w14:paraId="17A245C3">
      <w:pPr>
        <w:spacing w:line="300" w:lineRule="auto"/>
        <w:ind w:firstLine="3675" w:firstLineChars="1750"/>
        <w:rPr>
          <w:rFonts w:ascii="Times New Roman" w:hAnsi="Times New Roman"/>
          <w:color w:val="000000"/>
          <w:szCs w:val="21"/>
        </w:rPr>
      </w:pPr>
      <w:r>
        <w:rPr>
          <w:rFonts w:ascii="Times New Roman" w:hAnsi="Times New Roman"/>
          <w:color w:val="000000"/>
          <w:szCs w:val="21"/>
        </w:rPr>
        <w:t>邮政编码：</w:t>
      </w:r>
      <w:r>
        <w:rPr>
          <w:rFonts w:ascii="Times New Roman" w:hAnsi="Times New Roman"/>
          <w:color w:val="000000"/>
          <w:szCs w:val="21"/>
          <w:u w:val="single"/>
        </w:rPr>
        <w:t xml:space="preserve">                                 </w:t>
      </w:r>
    </w:p>
    <w:p w14:paraId="7758396A">
      <w:pPr>
        <w:spacing w:line="300" w:lineRule="auto"/>
        <w:ind w:firstLine="5040" w:firstLineChars="2400"/>
        <w:rPr>
          <w:rFonts w:ascii="Times New Roman" w:hAnsi="Times New Roman"/>
          <w:color w:val="000000"/>
          <w:szCs w:val="21"/>
        </w:rPr>
      </w:pP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p>
    <w:p w14:paraId="152AFA7E">
      <w:pPr>
        <w:spacing w:line="300" w:lineRule="auto"/>
        <w:ind w:firstLine="5040" w:firstLineChars="2400"/>
        <w:rPr>
          <w:rFonts w:ascii="Times New Roman" w:hAnsi="Times New Roman"/>
          <w:color w:val="000000"/>
          <w:szCs w:val="21"/>
        </w:rPr>
      </w:pPr>
    </w:p>
    <w:p w14:paraId="64CC1FF3">
      <w:pPr>
        <w:spacing w:line="300" w:lineRule="auto"/>
        <w:jc w:val="center"/>
        <w:rPr>
          <w:rFonts w:ascii="Times New Roman" w:hAnsi="Times New Roman"/>
          <w:color w:val="000000"/>
          <w:szCs w:val="21"/>
        </w:rPr>
      </w:pPr>
    </w:p>
    <w:p w14:paraId="373B6940">
      <w:pPr>
        <w:pStyle w:val="3"/>
        <w:spacing w:before="0" w:after="0" w:line="300" w:lineRule="auto"/>
        <w:jc w:val="center"/>
        <w:rPr>
          <w:rFonts w:ascii="Times New Roman" w:hAnsi="Times New Roman"/>
          <w:color w:val="000000"/>
        </w:rPr>
      </w:pPr>
      <w:r>
        <w:rPr>
          <w:rFonts w:ascii="Times New Roman" w:hAnsi="Times New Roman"/>
          <w:color w:val="000000"/>
          <w:sz w:val="20"/>
        </w:rPr>
        <w:br w:type="page"/>
      </w:r>
      <w:bookmarkStart w:id="667" w:name="_Toc23528"/>
      <w:bookmarkStart w:id="668" w:name="_Toc11467"/>
      <w:r>
        <w:rPr>
          <w:rFonts w:hint="eastAsia" w:ascii="Times New Roman" w:hAnsi="Times New Roman"/>
          <w:color w:val="000000"/>
        </w:rPr>
        <w:t>2.</w:t>
      </w:r>
      <w:r>
        <w:rPr>
          <w:rFonts w:ascii="Times New Roman" w:hAnsi="Times New Roman"/>
          <w:color w:val="000000"/>
        </w:rPr>
        <w:t>法定代表人身份证明</w:t>
      </w:r>
      <w:bookmarkEnd w:id="667"/>
      <w:bookmarkEnd w:id="668"/>
    </w:p>
    <w:p w14:paraId="353641B5">
      <w:pPr>
        <w:spacing w:line="300" w:lineRule="auto"/>
        <w:rPr>
          <w:rFonts w:ascii="Times New Roman" w:hAnsi="Times New Roman"/>
          <w:color w:val="000000"/>
          <w:sz w:val="20"/>
        </w:rPr>
      </w:pPr>
    </w:p>
    <w:p w14:paraId="1D3FF826">
      <w:pPr>
        <w:spacing w:line="300" w:lineRule="auto"/>
        <w:rPr>
          <w:rFonts w:ascii="Times New Roman" w:hAnsi="Times New Roman"/>
          <w:color w:val="000000"/>
          <w:szCs w:val="21"/>
        </w:rPr>
      </w:pPr>
    </w:p>
    <w:p w14:paraId="374B2B83">
      <w:pPr>
        <w:spacing w:line="300" w:lineRule="auto"/>
        <w:rPr>
          <w:rFonts w:ascii="Times New Roman" w:hAnsi="Times New Roman"/>
          <w:color w:val="000000"/>
          <w:szCs w:val="21"/>
        </w:rPr>
      </w:pPr>
      <w:r>
        <w:rPr>
          <w:rFonts w:ascii="Times New Roman" w:hAnsi="Times New Roman"/>
          <w:color w:val="000000"/>
          <w:szCs w:val="21"/>
        </w:rPr>
        <w:t>名称：</w:t>
      </w:r>
      <w:r>
        <w:rPr>
          <w:rFonts w:ascii="Times New Roman" w:hAnsi="Times New Roman"/>
          <w:color w:val="000000"/>
          <w:szCs w:val="21"/>
          <w:u w:val="single"/>
        </w:rPr>
        <w:t xml:space="preserve">                            </w:t>
      </w:r>
      <w:r>
        <w:rPr>
          <w:rFonts w:ascii="Times New Roman" w:hAnsi="Times New Roman"/>
          <w:color w:val="000000"/>
          <w:szCs w:val="21"/>
        </w:rPr>
        <w:t xml:space="preserve"> </w:t>
      </w:r>
    </w:p>
    <w:p w14:paraId="51407D87">
      <w:pPr>
        <w:spacing w:line="300" w:lineRule="auto"/>
        <w:rPr>
          <w:rFonts w:ascii="Times New Roman" w:hAnsi="Times New Roman"/>
          <w:color w:val="000000"/>
          <w:szCs w:val="21"/>
        </w:rPr>
      </w:pPr>
      <w:r>
        <w:rPr>
          <w:rFonts w:ascii="Times New Roman" w:hAnsi="Times New Roman"/>
          <w:color w:val="000000"/>
          <w:szCs w:val="21"/>
        </w:rPr>
        <w:t>单位性质：</w:t>
      </w:r>
      <w:r>
        <w:rPr>
          <w:rFonts w:ascii="Times New Roman" w:hAnsi="Times New Roman"/>
          <w:color w:val="000000"/>
          <w:szCs w:val="21"/>
          <w:u w:val="single"/>
        </w:rPr>
        <w:t xml:space="preserve">                               </w:t>
      </w:r>
      <w:r>
        <w:rPr>
          <w:rFonts w:ascii="Times New Roman" w:hAnsi="Times New Roman"/>
          <w:color w:val="000000"/>
          <w:szCs w:val="21"/>
        </w:rPr>
        <w:t xml:space="preserve"> </w:t>
      </w:r>
    </w:p>
    <w:p w14:paraId="4D5F0405">
      <w:pPr>
        <w:spacing w:line="300" w:lineRule="auto"/>
        <w:rPr>
          <w:rFonts w:ascii="Times New Roman" w:hAnsi="Times New Roman"/>
          <w:color w:val="000000"/>
          <w:szCs w:val="21"/>
        </w:rPr>
      </w:pPr>
      <w:r>
        <w:rPr>
          <w:rFonts w:ascii="Times New Roman" w:hAnsi="Times New Roman"/>
          <w:color w:val="000000"/>
          <w:szCs w:val="21"/>
        </w:rPr>
        <w:t>地址：</w:t>
      </w:r>
      <w:r>
        <w:rPr>
          <w:rFonts w:ascii="Times New Roman" w:hAnsi="Times New Roman"/>
          <w:color w:val="000000"/>
          <w:szCs w:val="21"/>
          <w:u w:val="single"/>
        </w:rPr>
        <w:t xml:space="preserve">                                   </w:t>
      </w:r>
    </w:p>
    <w:p w14:paraId="630862F4">
      <w:pPr>
        <w:spacing w:line="300" w:lineRule="auto"/>
        <w:rPr>
          <w:rFonts w:ascii="Times New Roman" w:hAnsi="Times New Roman"/>
          <w:color w:val="000000"/>
          <w:szCs w:val="21"/>
        </w:rPr>
      </w:pPr>
      <w:r>
        <w:rPr>
          <w:rFonts w:ascii="Times New Roman" w:hAnsi="Times New Roman"/>
          <w:color w:val="000000"/>
          <w:szCs w:val="21"/>
        </w:rPr>
        <w:t>成立时间：</w:t>
      </w: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p>
    <w:p w14:paraId="1F2A3A75">
      <w:pPr>
        <w:spacing w:line="300" w:lineRule="auto"/>
        <w:rPr>
          <w:rFonts w:ascii="Times New Roman" w:hAnsi="Times New Roman"/>
          <w:color w:val="000000"/>
          <w:szCs w:val="21"/>
        </w:rPr>
      </w:pPr>
      <w:r>
        <w:rPr>
          <w:rFonts w:ascii="Times New Roman" w:hAnsi="Times New Roman"/>
          <w:color w:val="000000"/>
          <w:szCs w:val="21"/>
        </w:rPr>
        <w:t>经营期限：</w:t>
      </w:r>
      <w:r>
        <w:rPr>
          <w:rFonts w:ascii="Times New Roman" w:hAnsi="Times New Roman"/>
          <w:color w:val="000000"/>
          <w:szCs w:val="21"/>
          <w:u w:val="single"/>
        </w:rPr>
        <w:t xml:space="preserve">                               </w:t>
      </w:r>
    </w:p>
    <w:p w14:paraId="34ECD544">
      <w:pPr>
        <w:spacing w:line="300" w:lineRule="auto"/>
        <w:rPr>
          <w:rFonts w:ascii="Times New Roman" w:hAnsi="Times New Roman"/>
          <w:color w:val="000000"/>
          <w:szCs w:val="21"/>
        </w:rPr>
      </w:pPr>
      <w:r>
        <w:rPr>
          <w:rFonts w:ascii="Times New Roman" w:hAnsi="Times New Roman"/>
          <w:color w:val="000000"/>
          <w:szCs w:val="21"/>
        </w:rPr>
        <w:t>姓名：</w:t>
      </w:r>
      <w:r>
        <w:rPr>
          <w:rFonts w:ascii="Times New Roman" w:hAnsi="Times New Roman"/>
          <w:color w:val="000000"/>
          <w:szCs w:val="21"/>
          <w:u w:val="single"/>
        </w:rPr>
        <w:t xml:space="preserve">         </w:t>
      </w:r>
      <w:r>
        <w:rPr>
          <w:rFonts w:ascii="Times New Roman" w:hAnsi="Times New Roman"/>
          <w:color w:val="000000"/>
          <w:szCs w:val="21"/>
        </w:rPr>
        <w:t xml:space="preserve"> 性别：</w:t>
      </w:r>
      <w:r>
        <w:rPr>
          <w:rFonts w:ascii="Times New Roman" w:hAnsi="Times New Roman"/>
          <w:color w:val="000000"/>
          <w:szCs w:val="21"/>
          <w:u w:val="single"/>
        </w:rPr>
        <w:t xml:space="preserve">         </w:t>
      </w:r>
      <w:r>
        <w:rPr>
          <w:rFonts w:ascii="Times New Roman" w:hAnsi="Times New Roman"/>
          <w:color w:val="000000"/>
          <w:szCs w:val="21"/>
        </w:rPr>
        <w:t>年龄：</w:t>
      </w:r>
      <w:r>
        <w:rPr>
          <w:rFonts w:ascii="Times New Roman" w:hAnsi="Times New Roman"/>
          <w:color w:val="000000"/>
          <w:szCs w:val="21"/>
          <w:u w:val="single"/>
        </w:rPr>
        <w:t xml:space="preserve">        </w:t>
      </w:r>
      <w:r>
        <w:rPr>
          <w:rFonts w:ascii="Times New Roman" w:hAnsi="Times New Roman"/>
          <w:color w:val="000000"/>
          <w:szCs w:val="21"/>
        </w:rPr>
        <w:t>职务：</w:t>
      </w:r>
      <w:r>
        <w:rPr>
          <w:rFonts w:ascii="Times New Roman" w:hAnsi="Times New Roman"/>
          <w:color w:val="000000"/>
          <w:szCs w:val="21"/>
          <w:u w:val="single"/>
        </w:rPr>
        <w:t xml:space="preserve">        </w:t>
      </w:r>
    </w:p>
    <w:p w14:paraId="0DAE252A">
      <w:pPr>
        <w:spacing w:line="300" w:lineRule="auto"/>
        <w:rPr>
          <w:rFonts w:ascii="Times New Roman" w:hAnsi="Times New Roman"/>
          <w:color w:val="000000"/>
          <w:szCs w:val="21"/>
        </w:rPr>
      </w:pPr>
      <w:r>
        <w:rPr>
          <w:rFonts w:ascii="Times New Roman" w:hAnsi="Times New Roman"/>
          <w:color w:val="000000"/>
          <w:szCs w:val="21"/>
        </w:rPr>
        <w:t>系</w:t>
      </w:r>
      <w:r>
        <w:rPr>
          <w:rFonts w:ascii="Times New Roman" w:hAnsi="Times New Roman"/>
          <w:color w:val="000000"/>
          <w:szCs w:val="21"/>
          <w:u w:val="single"/>
        </w:rPr>
        <w:t xml:space="preserve">                             </w:t>
      </w:r>
      <w:r>
        <w:rPr>
          <w:rFonts w:ascii="Times New Roman" w:hAnsi="Times New Roman"/>
          <w:color w:val="000000"/>
          <w:szCs w:val="21"/>
        </w:rPr>
        <w:t xml:space="preserve"> （名称）的法定代表人。</w:t>
      </w:r>
    </w:p>
    <w:p w14:paraId="4EC1986A">
      <w:pPr>
        <w:spacing w:line="300" w:lineRule="auto"/>
        <w:ind w:firstLine="420" w:firstLineChars="200"/>
        <w:rPr>
          <w:rFonts w:ascii="Times New Roman" w:hAnsi="Times New Roman"/>
          <w:color w:val="000000"/>
          <w:szCs w:val="21"/>
        </w:rPr>
      </w:pPr>
      <w:r>
        <w:rPr>
          <w:rFonts w:ascii="Times New Roman" w:hAnsi="Times New Roman"/>
          <w:color w:val="000000"/>
          <w:szCs w:val="21"/>
        </w:rPr>
        <w:t>特此证明。</w:t>
      </w:r>
    </w:p>
    <w:p w14:paraId="567B9C56">
      <w:pPr>
        <w:spacing w:line="300" w:lineRule="auto"/>
        <w:rPr>
          <w:rFonts w:ascii="Times New Roman" w:hAnsi="Times New Roman"/>
          <w:color w:val="000000"/>
          <w:szCs w:val="21"/>
        </w:rPr>
      </w:pPr>
    </w:p>
    <w:p w14:paraId="5B993C6C">
      <w:pPr>
        <w:spacing w:line="300" w:lineRule="auto"/>
        <w:rPr>
          <w:rFonts w:ascii="Times New Roman" w:hAnsi="Times New Roman"/>
          <w:color w:val="000000"/>
          <w:szCs w:val="21"/>
        </w:rPr>
      </w:pPr>
    </w:p>
    <w:p w14:paraId="45C464C3">
      <w:pPr>
        <w:spacing w:line="300" w:lineRule="auto"/>
        <w:jc w:val="right"/>
        <w:rPr>
          <w:rFonts w:ascii="Times New Roman" w:hAnsi="Times New Roman"/>
          <w:color w:val="000000"/>
          <w:szCs w:val="21"/>
        </w:rPr>
      </w:pPr>
      <w:r>
        <w:rPr>
          <w:rFonts w:ascii="Times New Roman" w:hAnsi="Times New Roman"/>
          <w:color w:val="000000"/>
          <w:szCs w:val="21"/>
        </w:rPr>
        <w:t xml:space="preserve">                          投标人：</w:t>
      </w:r>
      <w:r>
        <w:rPr>
          <w:rFonts w:ascii="Times New Roman" w:hAnsi="Times New Roman"/>
          <w:color w:val="000000"/>
          <w:szCs w:val="21"/>
          <w:u w:val="single"/>
        </w:rPr>
        <w:t xml:space="preserve">                      </w:t>
      </w:r>
      <w:r>
        <w:rPr>
          <w:rFonts w:ascii="Times New Roman" w:hAnsi="Times New Roman"/>
          <w:color w:val="000000"/>
          <w:szCs w:val="21"/>
        </w:rPr>
        <w:t>（盖单位章）</w:t>
      </w:r>
    </w:p>
    <w:p w14:paraId="641855B6">
      <w:pPr>
        <w:spacing w:line="300" w:lineRule="auto"/>
        <w:jc w:val="center"/>
        <w:rPr>
          <w:rFonts w:ascii="Times New Roman" w:hAnsi="Times New Roman"/>
          <w:color w:val="000000"/>
          <w:szCs w:val="21"/>
        </w:rPr>
      </w:pPr>
      <w:r>
        <w:rPr>
          <w:rFonts w:ascii="Times New Roman" w:hAnsi="Times New Roman"/>
          <w:color w:val="000000"/>
          <w:szCs w:val="21"/>
        </w:rPr>
        <w:t xml:space="preserve">                                 </w:t>
      </w: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p>
    <w:p w14:paraId="0BFCF8C8">
      <w:pPr>
        <w:spacing w:line="300" w:lineRule="auto"/>
        <w:jc w:val="center"/>
        <w:rPr>
          <w:rFonts w:ascii="Times New Roman" w:hAnsi="Times New Roman" w:eastAsia="黑体"/>
          <w:color w:val="000000"/>
          <w:sz w:val="20"/>
        </w:rPr>
      </w:pPr>
      <w:r>
        <w:rPr>
          <w:rFonts w:ascii="Times New Roman" w:hAnsi="Times New Roman" w:eastAsia="黑体"/>
          <w:color w:val="000000"/>
          <w:sz w:val="20"/>
        </w:rPr>
        <w:br w:type="page"/>
      </w:r>
    </w:p>
    <w:p w14:paraId="1453CD93">
      <w:pPr>
        <w:pStyle w:val="3"/>
        <w:spacing w:before="0" w:after="0" w:line="300" w:lineRule="auto"/>
        <w:jc w:val="center"/>
        <w:rPr>
          <w:rFonts w:ascii="Times New Roman" w:hAnsi="Times New Roman"/>
          <w:color w:val="000000"/>
        </w:rPr>
      </w:pPr>
      <w:bookmarkStart w:id="669" w:name="_Toc14031"/>
      <w:bookmarkStart w:id="670" w:name="_Toc14329"/>
      <w:r>
        <w:rPr>
          <w:rFonts w:hint="eastAsia" w:ascii="Times New Roman" w:hAnsi="Times New Roman"/>
          <w:color w:val="000000"/>
        </w:rPr>
        <w:t>3.</w:t>
      </w:r>
      <w:r>
        <w:rPr>
          <w:rFonts w:ascii="Times New Roman" w:hAnsi="Times New Roman"/>
          <w:color w:val="000000"/>
        </w:rPr>
        <w:t>授权委托书</w:t>
      </w:r>
      <w:bookmarkEnd w:id="669"/>
      <w:bookmarkEnd w:id="670"/>
    </w:p>
    <w:p w14:paraId="6CC948AA">
      <w:pPr>
        <w:spacing w:line="300" w:lineRule="auto"/>
        <w:rPr>
          <w:rFonts w:ascii="Times New Roman" w:hAnsi="Times New Roman" w:eastAsia="黑体"/>
          <w:color w:val="000000"/>
          <w:szCs w:val="21"/>
        </w:rPr>
      </w:pPr>
    </w:p>
    <w:p w14:paraId="05680222">
      <w:pPr>
        <w:topLinePunct/>
        <w:spacing w:line="300" w:lineRule="auto"/>
        <w:ind w:firstLine="420" w:firstLineChars="200"/>
        <w:rPr>
          <w:rFonts w:ascii="Times New Roman" w:hAnsi="Times New Roman"/>
          <w:color w:val="000000"/>
          <w:szCs w:val="21"/>
        </w:rPr>
      </w:pPr>
      <w:r>
        <w:rPr>
          <w:rFonts w:ascii="Times New Roman" w:hAnsi="Times New Roman"/>
          <w:color w:val="000000"/>
          <w:szCs w:val="21"/>
        </w:rPr>
        <w:t>本人</w:t>
      </w:r>
      <w:r>
        <w:rPr>
          <w:rFonts w:ascii="Times New Roman" w:hAnsi="Times New Roman"/>
          <w:color w:val="000000"/>
          <w:szCs w:val="21"/>
          <w:u w:val="single"/>
        </w:rPr>
        <w:t xml:space="preserve">       </w:t>
      </w:r>
      <w:r>
        <w:rPr>
          <w:rFonts w:ascii="Times New Roman" w:hAnsi="Times New Roman"/>
          <w:color w:val="000000"/>
          <w:szCs w:val="21"/>
        </w:rPr>
        <w:t>（姓名）系</w:t>
      </w:r>
      <w:r>
        <w:rPr>
          <w:rFonts w:ascii="Times New Roman" w:hAnsi="Times New Roman"/>
          <w:color w:val="000000"/>
          <w:szCs w:val="21"/>
          <w:u w:val="single"/>
        </w:rPr>
        <w:t xml:space="preserve">        </w:t>
      </w:r>
      <w:r>
        <w:rPr>
          <w:rFonts w:ascii="Times New Roman" w:hAnsi="Times New Roman"/>
          <w:color w:val="000000"/>
          <w:szCs w:val="21"/>
        </w:rPr>
        <w:t>（名称）的法定代表人，现委托</w:t>
      </w:r>
      <w:r>
        <w:rPr>
          <w:rFonts w:ascii="Times New Roman" w:hAnsi="Times New Roman"/>
          <w:color w:val="000000"/>
          <w:szCs w:val="21"/>
          <w:u w:val="single"/>
        </w:rPr>
        <w:t xml:space="preserve">        </w:t>
      </w:r>
      <w:r>
        <w:rPr>
          <w:rFonts w:ascii="Times New Roman" w:hAnsi="Times New Roman"/>
          <w:color w:val="000000"/>
          <w:szCs w:val="21"/>
        </w:rPr>
        <w:t>（姓名）为我方代理人。代理人根据授权，以我方名义签署、澄清、说明、补正、递交、撤回、修改</w:t>
      </w:r>
      <w:r>
        <w:rPr>
          <w:rFonts w:ascii="Times New Roman" w:hAnsi="Times New Roman"/>
          <w:color w:val="000000"/>
          <w:szCs w:val="21"/>
          <w:u w:val="single"/>
        </w:rPr>
        <w:t xml:space="preserve">           </w:t>
      </w:r>
      <w:r>
        <w:rPr>
          <w:rFonts w:ascii="Times New Roman" w:hAnsi="Times New Roman"/>
          <w:color w:val="000000"/>
          <w:szCs w:val="21"/>
        </w:rPr>
        <w:t>（项目名称）投标文件、签订合同和处理有关事宜，其法律后果由我方承担。</w:t>
      </w:r>
    </w:p>
    <w:p w14:paraId="7D3629E3">
      <w:pPr>
        <w:spacing w:line="300" w:lineRule="auto"/>
        <w:rPr>
          <w:rFonts w:ascii="Times New Roman" w:hAnsi="Times New Roman"/>
          <w:color w:val="000000"/>
          <w:szCs w:val="21"/>
        </w:rPr>
      </w:pPr>
      <w:r>
        <w:rPr>
          <w:rFonts w:ascii="Times New Roman" w:hAnsi="Times New Roman"/>
          <w:color w:val="000000"/>
          <w:szCs w:val="21"/>
        </w:rPr>
        <w:t xml:space="preserve">    委托期限：</w:t>
      </w:r>
      <w:r>
        <w:rPr>
          <w:rFonts w:ascii="Times New Roman" w:hAnsi="Times New Roman"/>
          <w:color w:val="000000"/>
          <w:szCs w:val="21"/>
          <w:u w:val="single"/>
        </w:rPr>
        <w:t xml:space="preserve">             </w:t>
      </w:r>
      <w:r>
        <w:rPr>
          <w:rFonts w:ascii="Times New Roman" w:hAnsi="Times New Roman"/>
          <w:color w:val="000000"/>
          <w:szCs w:val="21"/>
        </w:rPr>
        <w:t>。</w:t>
      </w:r>
    </w:p>
    <w:p w14:paraId="32816844">
      <w:pPr>
        <w:spacing w:line="300" w:lineRule="auto"/>
        <w:ind w:firstLine="420" w:firstLineChars="200"/>
        <w:rPr>
          <w:rFonts w:ascii="Times New Roman" w:hAnsi="Times New Roman"/>
          <w:color w:val="000000"/>
          <w:szCs w:val="21"/>
        </w:rPr>
      </w:pPr>
      <w:r>
        <w:rPr>
          <w:rFonts w:ascii="Times New Roman" w:hAnsi="Times New Roman"/>
          <w:color w:val="000000"/>
          <w:szCs w:val="21"/>
        </w:rPr>
        <w:t>代理人无转委托权。</w:t>
      </w:r>
    </w:p>
    <w:p w14:paraId="4EA62703">
      <w:pPr>
        <w:spacing w:line="300" w:lineRule="auto"/>
        <w:ind w:firstLine="420" w:firstLineChars="200"/>
        <w:rPr>
          <w:rFonts w:ascii="Times New Roman" w:hAnsi="Times New Roman"/>
          <w:color w:val="000000"/>
          <w:szCs w:val="21"/>
        </w:rPr>
      </w:pPr>
      <w:r>
        <w:rPr>
          <w:rFonts w:ascii="Times New Roman" w:hAnsi="Times New Roman"/>
          <w:color w:val="000000"/>
          <w:szCs w:val="21"/>
        </w:rPr>
        <w:t>附：法定代表人身份证明、授权代表身份证复印件；</w:t>
      </w:r>
    </w:p>
    <w:p w14:paraId="292CA41D">
      <w:pPr>
        <w:spacing w:line="300" w:lineRule="auto"/>
        <w:rPr>
          <w:rFonts w:ascii="Times New Roman" w:hAnsi="Times New Roman"/>
          <w:color w:val="000000"/>
          <w:szCs w:val="21"/>
        </w:rPr>
      </w:pPr>
    </w:p>
    <w:p w14:paraId="34073260">
      <w:pPr>
        <w:spacing w:line="300" w:lineRule="auto"/>
        <w:rPr>
          <w:rFonts w:ascii="Times New Roman" w:hAnsi="Times New Roman"/>
          <w:color w:val="000000"/>
          <w:szCs w:val="21"/>
        </w:rPr>
      </w:pPr>
    </w:p>
    <w:p w14:paraId="58952A4F">
      <w:pPr>
        <w:spacing w:line="300" w:lineRule="auto"/>
        <w:rPr>
          <w:rFonts w:ascii="Times New Roman" w:hAnsi="Times New Roman"/>
          <w:color w:val="000000"/>
          <w:szCs w:val="21"/>
        </w:rPr>
      </w:pPr>
      <w:r>
        <w:rPr>
          <w:rFonts w:ascii="Times New Roman" w:hAnsi="Times New Roman"/>
          <w:color w:val="000000"/>
          <w:szCs w:val="21"/>
        </w:rPr>
        <w:t>投 标 人：</w:t>
      </w:r>
      <w:r>
        <w:rPr>
          <w:rFonts w:ascii="Times New Roman" w:hAnsi="Times New Roman"/>
          <w:color w:val="000000"/>
          <w:szCs w:val="21"/>
          <w:u w:val="single"/>
        </w:rPr>
        <w:t xml:space="preserve">                               </w:t>
      </w:r>
      <w:r>
        <w:rPr>
          <w:rFonts w:ascii="Times New Roman" w:hAnsi="Times New Roman"/>
          <w:color w:val="000000"/>
          <w:szCs w:val="21"/>
        </w:rPr>
        <w:t>（盖单位章）</w:t>
      </w:r>
    </w:p>
    <w:p w14:paraId="14E554A9">
      <w:pPr>
        <w:spacing w:line="300" w:lineRule="auto"/>
        <w:rPr>
          <w:rFonts w:ascii="Times New Roman" w:hAnsi="Times New Roman"/>
          <w:color w:val="000000"/>
          <w:szCs w:val="21"/>
        </w:rPr>
      </w:pPr>
    </w:p>
    <w:p w14:paraId="3B650410">
      <w:pPr>
        <w:spacing w:line="300" w:lineRule="auto"/>
        <w:rPr>
          <w:rFonts w:ascii="Times New Roman" w:hAnsi="Times New Roman"/>
          <w:color w:val="000000"/>
          <w:szCs w:val="21"/>
        </w:rPr>
      </w:pPr>
      <w:r>
        <w:rPr>
          <w:rFonts w:ascii="Times New Roman" w:hAnsi="Times New Roman"/>
          <w:color w:val="000000"/>
          <w:szCs w:val="21"/>
        </w:rPr>
        <w:t>法定代表人：</w:t>
      </w:r>
      <w:r>
        <w:rPr>
          <w:rFonts w:ascii="Times New Roman" w:hAnsi="Times New Roman"/>
          <w:color w:val="000000"/>
          <w:szCs w:val="21"/>
          <w:u w:val="single"/>
        </w:rPr>
        <w:t xml:space="preserve">                               </w:t>
      </w:r>
      <w:r>
        <w:rPr>
          <w:rFonts w:ascii="Times New Roman" w:hAnsi="Times New Roman"/>
          <w:color w:val="000000"/>
          <w:szCs w:val="21"/>
        </w:rPr>
        <w:t>（签字并盖章）</w:t>
      </w:r>
    </w:p>
    <w:p w14:paraId="55B9F174">
      <w:pPr>
        <w:spacing w:line="300" w:lineRule="auto"/>
        <w:rPr>
          <w:rFonts w:ascii="Times New Roman" w:hAnsi="Times New Roman"/>
          <w:color w:val="000000"/>
          <w:szCs w:val="21"/>
        </w:rPr>
      </w:pPr>
    </w:p>
    <w:p w14:paraId="6C7BF1DE">
      <w:pPr>
        <w:spacing w:line="300" w:lineRule="auto"/>
        <w:rPr>
          <w:rFonts w:ascii="Times New Roman" w:hAnsi="Times New Roman"/>
          <w:color w:val="000000"/>
          <w:szCs w:val="21"/>
        </w:rPr>
      </w:pPr>
      <w:r>
        <w:rPr>
          <w:rFonts w:ascii="Times New Roman" w:hAnsi="Times New Roman"/>
          <w:color w:val="000000"/>
          <w:szCs w:val="21"/>
        </w:rPr>
        <w:t>身份证号码：</w:t>
      </w:r>
      <w:r>
        <w:rPr>
          <w:rFonts w:ascii="Times New Roman" w:hAnsi="Times New Roman"/>
          <w:color w:val="000000"/>
          <w:szCs w:val="21"/>
          <w:u w:val="single"/>
        </w:rPr>
        <w:t xml:space="preserve">                                     </w:t>
      </w:r>
    </w:p>
    <w:p w14:paraId="6AC75768">
      <w:pPr>
        <w:spacing w:line="300" w:lineRule="auto"/>
        <w:rPr>
          <w:rFonts w:ascii="Times New Roman" w:hAnsi="Times New Roman"/>
          <w:color w:val="000000"/>
          <w:szCs w:val="21"/>
        </w:rPr>
      </w:pPr>
    </w:p>
    <w:p w14:paraId="0FD3F597">
      <w:pPr>
        <w:spacing w:line="300" w:lineRule="auto"/>
        <w:rPr>
          <w:rFonts w:ascii="Times New Roman" w:hAnsi="Times New Roman"/>
          <w:color w:val="000000"/>
          <w:szCs w:val="21"/>
        </w:rPr>
      </w:pPr>
      <w:r>
        <w:rPr>
          <w:rFonts w:ascii="Times New Roman" w:hAnsi="Times New Roman"/>
          <w:color w:val="000000"/>
          <w:szCs w:val="21"/>
        </w:rPr>
        <w:t>委托代理人：</w:t>
      </w:r>
      <w:r>
        <w:rPr>
          <w:rFonts w:ascii="Times New Roman" w:hAnsi="Times New Roman"/>
          <w:color w:val="000000"/>
          <w:szCs w:val="21"/>
          <w:u w:val="single"/>
        </w:rPr>
        <w:t xml:space="preserve">                                   </w:t>
      </w:r>
      <w:r>
        <w:rPr>
          <w:rFonts w:ascii="Times New Roman" w:hAnsi="Times New Roman"/>
          <w:color w:val="000000"/>
          <w:szCs w:val="21"/>
        </w:rPr>
        <w:t xml:space="preserve">（签字） </w:t>
      </w:r>
    </w:p>
    <w:p w14:paraId="7E030826">
      <w:pPr>
        <w:spacing w:line="300" w:lineRule="auto"/>
        <w:rPr>
          <w:rFonts w:ascii="Times New Roman" w:hAnsi="Times New Roman"/>
          <w:color w:val="000000"/>
          <w:szCs w:val="21"/>
        </w:rPr>
      </w:pPr>
    </w:p>
    <w:p w14:paraId="0991DAF0">
      <w:pPr>
        <w:spacing w:line="300" w:lineRule="auto"/>
        <w:rPr>
          <w:rFonts w:ascii="Times New Roman" w:hAnsi="Times New Roman"/>
          <w:color w:val="000000"/>
          <w:szCs w:val="21"/>
        </w:rPr>
      </w:pPr>
      <w:r>
        <w:rPr>
          <w:rFonts w:ascii="Times New Roman" w:hAnsi="Times New Roman"/>
          <w:color w:val="000000"/>
          <w:szCs w:val="21"/>
        </w:rPr>
        <w:t>身份证号码：</w:t>
      </w:r>
      <w:r>
        <w:rPr>
          <w:rFonts w:ascii="Times New Roman" w:hAnsi="Times New Roman"/>
          <w:color w:val="000000"/>
          <w:szCs w:val="21"/>
          <w:u w:val="single"/>
        </w:rPr>
        <w:t xml:space="preserve">                                      </w:t>
      </w:r>
    </w:p>
    <w:p w14:paraId="4474FCEF">
      <w:pPr>
        <w:spacing w:line="300" w:lineRule="auto"/>
        <w:rPr>
          <w:rFonts w:ascii="Times New Roman" w:hAnsi="Times New Roman"/>
          <w:color w:val="000000"/>
          <w:szCs w:val="21"/>
        </w:rPr>
      </w:pPr>
    </w:p>
    <w:p w14:paraId="27A2A3F2">
      <w:pPr>
        <w:spacing w:line="300" w:lineRule="auto"/>
        <w:rPr>
          <w:rFonts w:ascii="Times New Roman" w:hAnsi="Times New Roman"/>
          <w:color w:val="000000"/>
          <w:szCs w:val="21"/>
        </w:rPr>
      </w:pPr>
    </w:p>
    <w:p w14:paraId="5730F9D9">
      <w:pPr>
        <w:spacing w:line="300" w:lineRule="auto"/>
        <w:ind w:firstLine="4830" w:firstLineChars="2300"/>
        <w:rPr>
          <w:rFonts w:ascii="Times New Roman" w:hAnsi="Times New Roman" w:eastAsia="黑体"/>
          <w:color w:val="000000"/>
          <w:szCs w:val="21"/>
        </w:rPr>
      </w:pP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p>
    <w:p w14:paraId="2F676382">
      <w:pPr>
        <w:spacing w:line="300" w:lineRule="auto"/>
        <w:ind w:left="482" w:hanging="482" w:hangingChars="200"/>
        <w:rPr>
          <w:rFonts w:ascii="Times New Roman" w:hAnsi="Times New Roman" w:eastAsia="楷体_GB2312"/>
          <w:b/>
          <w:color w:val="000000"/>
          <w:kern w:val="0"/>
          <w:sz w:val="24"/>
          <w:lang w:val="zh-CN"/>
        </w:rPr>
      </w:pPr>
    </w:p>
    <w:p w14:paraId="48B699CA">
      <w:pPr>
        <w:spacing w:line="300" w:lineRule="auto"/>
        <w:jc w:val="center"/>
        <w:rPr>
          <w:rFonts w:ascii="宋体" w:hAnsi="宋体" w:eastAsia="宋体" w:cs="宋体"/>
          <w:b/>
          <w:bCs/>
          <w:sz w:val="32"/>
          <w:szCs w:val="32"/>
        </w:rPr>
      </w:pPr>
      <w:r>
        <w:rPr>
          <w:rFonts w:hint="eastAsia" w:ascii="Times New Roman" w:hAnsi="Times New Roman"/>
          <w:color w:val="000000"/>
          <w:szCs w:val="21"/>
        </w:rPr>
        <w:br w:type="page"/>
      </w:r>
      <w:bookmarkStart w:id="671" w:name="_Toc506105877"/>
      <w:bookmarkStart w:id="672" w:name="_Toc352160852"/>
      <w:bookmarkStart w:id="673" w:name="_Toc508871757"/>
      <w:bookmarkStart w:id="674" w:name="_Toc391556617"/>
      <w:r>
        <w:rPr>
          <w:rFonts w:hint="eastAsia" w:ascii="宋体" w:hAnsi="宋体" w:eastAsia="宋体" w:cs="宋体"/>
          <w:b/>
          <w:bCs/>
          <w:sz w:val="32"/>
          <w:szCs w:val="32"/>
        </w:rPr>
        <w:t>4、资格审查资料</w:t>
      </w:r>
      <w:bookmarkEnd w:id="671"/>
      <w:bookmarkEnd w:id="672"/>
      <w:bookmarkEnd w:id="673"/>
      <w:bookmarkEnd w:id="674"/>
    </w:p>
    <w:p w14:paraId="2F1C876B">
      <w:pPr>
        <w:spacing w:line="360" w:lineRule="auto"/>
        <w:jc w:val="center"/>
        <w:rPr>
          <w:rFonts w:ascii="宋体" w:hAnsi="宋体" w:cs="仿宋"/>
          <w:bCs/>
          <w:sz w:val="28"/>
          <w:szCs w:val="28"/>
        </w:rPr>
      </w:pPr>
      <w:r>
        <w:rPr>
          <w:rFonts w:hint="eastAsia" w:ascii="宋体" w:hAnsi="宋体" w:cs="仿宋"/>
          <w:bCs/>
          <w:sz w:val="28"/>
          <w:szCs w:val="28"/>
        </w:rPr>
        <w:t>4.1 基本情况</w:t>
      </w:r>
    </w:p>
    <w:tbl>
      <w:tblPr>
        <w:tblStyle w:val="18"/>
        <w:tblW w:w="92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417"/>
        <w:gridCol w:w="2752"/>
        <w:gridCol w:w="1147"/>
        <w:gridCol w:w="2340"/>
      </w:tblGrid>
      <w:tr w14:paraId="76A3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tcBorders>
              <w:top w:val="single" w:color="000000" w:sz="4" w:space="0"/>
              <w:left w:val="single" w:color="000000" w:sz="4" w:space="0"/>
              <w:bottom w:val="single" w:color="000000" w:sz="4" w:space="0"/>
              <w:right w:val="single" w:color="000000" w:sz="4" w:space="0"/>
            </w:tcBorders>
            <w:vAlign w:val="center"/>
          </w:tcPr>
          <w:p w14:paraId="6D7B785A">
            <w:pPr>
              <w:topLinePunct/>
              <w:spacing w:line="360" w:lineRule="auto"/>
              <w:jc w:val="center"/>
              <w:rPr>
                <w:rFonts w:ascii="宋体" w:hAnsi="宋体" w:cs="仿宋"/>
              </w:rPr>
            </w:pPr>
            <w:r>
              <w:rPr>
                <w:rFonts w:hint="eastAsia" w:cs="仿宋"/>
              </w:rPr>
              <w:t>投标人</w:t>
            </w:r>
            <w:r>
              <w:rPr>
                <w:rFonts w:hint="eastAsia" w:ascii="宋体" w:hAnsi="宋体" w:cs="仿宋"/>
              </w:rPr>
              <w:t>名称</w:t>
            </w:r>
          </w:p>
        </w:tc>
        <w:tc>
          <w:tcPr>
            <w:tcW w:w="7656" w:type="dxa"/>
            <w:gridSpan w:val="4"/>
            <w:tcBorders>
              <w:top w:val="single" w:color="000000" w:sz="4" w:space="0"/>
              <w:left w:val="single" w:color="000000" w:sz="4" w:space="0"/>
              <w:bottom w:val="single" w:color="000000" w:sz="4" w:space="0"/>
              <w:right w:val="single" w:color="000000" w:sz="4" w:space="0"/>
            </w:tcBorders>
            <w:vAlign w:val="center"/>
          </w:tcPr>
          <w:p w14:paraId="2733F3FD">
            <w:pPr>
              <w:topLinePunct/>
              <w:spacing w:line="360" w:lineRule="auto"/>
              <w:jc w:val="center"/>
              <w:rPr>
                <w:rFonts w:ascii="宋体" w:hAnsi="宋体" w:cs="仿宋"/>
              </w:rPr>
            </w:pPr>
          </w:p>
        </w:tc>
      </w:tr>
      <w:tr w14:paraId="31D8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tcBorders>
              <w:top w:val="single" w:color="000000" w:sz="4" w:space="0"/>
              <w:left w:val="single" w:color="000000" w:sz="4" w:space="0"/>
              <w:bottom w:val="single" w:color="000000" w:sz="4" w:space="0"/>
              <w:right w:val="single" w:color="000000" w:sz="4" w:space="0"/>
            </w:tcBorders>
            <w:vAlign w:val="center"/>
          </w:tcPr>
          <w:p w14:paraId="304F6A4E">
            <w:pPr>
              <w:topLinePunct/>
              <w:spacing w:line="360" w:lineRule="auto"/>
              <w:jc w:val="center"/>
              <w:rPr>
                <w:rFonts w:ascii="宋体" w:hAnsi="宋体" w:cs="仿宋"/>
              </w:rPr>
            </w:pPr>
            <w:r>
              <w:rPr>
                <w:rFonts w:hint="eastAsia" w:ascii="宋体" w:hAnsi="宋体" w:cs="仿宋"/>
              </w:rPr>
              <w:t>注册地址</w:t>
            </w:r>
          </w:p>
        </w:tc>
        <w:tc>
          <w:tcPr>
            <w:tcW w:w="4169" w:type="dxa"/>
            <w:gridSpan w:val="2"/>
            <w:tcBorders>
              <w:top w:val="single" w:color="000000" w:sz="4" w:space="0"/>
              <w:left w:val="single" w:color="000000" w:sz="4" w:space="0"/>
              <w:bottom w:val="single" w:color="000000" w:sz="4" w:space="0"/>
              <w:right w:val="single" w:color="000000" w:sz="4" w:space="0"/>
            </w:tcBorders>
            <w:vAlign w:val="center"/>
          </w:tcPr>
          <w:p w14:paraId="76848E68">
            <w:pPr>
              <w:topLinePunct/>
              <w:spacing w:line="360" w:lineRule="auto"/>
              <w:jc w:val="center"/>
              <w:rPr>
                <w:rFonts w:ascii="宋体" w:hAnsi="宋体" w:cs="仿宋"/>
              </w:rPr>
            </w:pPr>
          </w:p>
        </w:tc>
        <w:tc>
          <w:tcPr>
            <w:tcW w:w="1147" w:type="dxa"/>
            <w:tcBorders>
              <w:top w:val="single" w:color="000000" w:sz="4" w:space="0"/>
              <w:left w:val="single" w:color="000000" w:sz="4" w:space="0"/>
              <w:bottom w:val="single" w:color="000000" w:sz="4" w:space="0"/>
              <w:right w:val="single" w:color="000000" w:sz="4" w:space="0"/>
            </w:tcBorders>
            <w:vAlign w:val="center"/>
          </w:tcPr>
          <w:p w14:paraId="2FAEF8BB">
            <w:pPr>
              <w:topLinePunct/>
              <w:spacing w:line="360" w:lineRule="auto"/>
              <w:ind w:left="-105" w:leftChars="-50" w:right="-105" w:rightChars="-50"/>
              <w:jc w:val="center"/>
              <w:rPr>
                <w:rFonts w:ascii="宋体" w:hAnsi="宋体" w:cs="仿宋"/>
              </w:rPr>
            </w:pPr>
            <w:r>
              <w:rPr>
                <w:rFonts w:hint="eastAsia" w:ascii="宋体" w:hAnsi="宋体" w:cs="仿宋"/>
              </w:rPr>
              <w:t>邮政编码</w:t>
            </w:r>
          </w:p>
        </w:tc>
        <w:tc>
          <w:tcPr>
            <w:tcW w:w="2340" w:type="dxa"/>
            <w:tcBorders>
              <w:top w:val="single" w:color="000000" w:sz="4" w:space="0"/>
              <w:left w:val="single" w:color="000000" w:sz="4" w:space="0"/>
              <w:bottom w:val="single" w:color="000000" w:sz="4" w:space="0"/>
              <w:right w:val="single" w:color="000000" w:sz="4" w:space="0"/>
            </w:tcBorders>
            <w:vAlign w:val="center"/>
          </w:tcPr>
          <w:p w14:paraId="0B3C7C0D">
            <w:pPr>
              <w:topLinePunct/>
              <w:spacing w:line="360" w:lineRule="auto"/>
              <w:jc w:val="center"/>
              <w:rPr>
                <w:rFonts w:ascii="宋体" w:hAnsi="宋体" w:cs="仿宋"/>
              </w:rPr>
            </w:pPr>
          </w:p>
        </w:tc>
      </w:tr>
      <w:tr w14:paraId="0FB70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560" w:type="dxa"/>
            <w:tcBorders>
              <w:top w:val="single" w:color="000000" w:sz="4" w:space="0"/>
              <w:left w:val="single" w:color="000000" w:sz="4" w:space="0"/>
              <w:bottom w:val="single" w:color="000000" w:sz="4" w:space="0"/>
              <w:right w:val="single" w:color="000000" w:sz="4" w:space="0"/>
            </w:tcBorders>
            <w:vAlign w:val="center"/>
          </w:tcPr>
          <w:p w14:paraId="079A0A43">
            <w:pPr>
              <w:topLinePunct/>
              <w:adjustRightInd w:val="0"/>
              <w:snapToGrid w:val="0"/>
              <w:spacing w:line="360" w:lineRule="auto"/>
              <w:jc w:val="center"/>
              <w:rPr>
                <w:rFonts w:ascii="宋体" w:hAnsi="宋体" w:cs="仿宋"/>
              </w:rPr>
            </w:pPr>
            <w:r>
              <w:rPr>
                <w:rFonts w:hint="eastAsia" w:ascii="宋体" w:hAnsi="宋体" w:cs="仿宋"/>
              </w:rPr>
              <w:t>成立或</w:t>
            </w:r>
          </w:p>
          <w:p w14:paraId="5D53FB42">
            <w:pPr>
              <w:topLinePunct/>
              <w:adjustRightInd w:val="0"/>
              <w:snapToGrid w:val="0"/>
              <w:spacing w:line="360" w:lineRule="auto"/>
              <w:jc w:val="center"/>
              <w:rPr>
                <w:rFonts w:ascii="宋体" w:hAnsi="宋体" w:cs="仿宋"/>
              </w:rPr>
            </w:pPr>
            <w:r>
              <w:rPr>
                <w:rFonts w:hint="eastAsia" w:ascii="宋体" w:hAnsi="宋体" w:cs="仿宋"/>
              </w:rPr>
              <w:t>注册时间</w:t>
            </w:r>
          </w:p>
        </w:tc>
        <w:tc>
          <w:tcPr>
            <w:tcW w:w="4169" w:type="dxa"/>
            <w:gridSpan w:val="2"/>
            <w:tcBorders>
              <w:top w:val="single" w:color="000000" w:sz="4" w:space="0"/>
              <w:left w:val="single" w:color="000000" w:sz="4" w:space="0"/>
              <w:bottom w:val="single" w:color="000000" w:sz="4" w:space="0"/>
              <w:right w:val="single" w:color="000000" w:sz="4" w:space="0"/>
            </w:tcBorders>
            <w:vAlign w:val="center"/>
          </w:tcPr>
          <w:p w14:paraId="05A42760">
            <w:pPr>
              <w:topLinePunct/>
              <w:spacing w:line="360" w:lineRule="auto"/>
              <w:jc w:val="center"/>
              <w:rPr>
                <w:rFonts w:ascii="宋体" w:hAnsi="宋体" w:cs="仿宋"/>
              </w:rPr>
            </w:pPr>
          </w:p>
        </w:tc>
        <w:tc>
          <w:tcPr>
            <w:tcW w:w="1147" w:type="dxa"/>
            <w:tcBorders>
              <w:top w:val="single" w:color="000000" w:sz="4" w:space="0"/>
              <w:left w:val="single" w:color="000000" w:sz="4" w:space="0"/>
              <w:bottom w:val="single" w:color="000000" w:sz="4" w:space="0"/>
              <w:right w:val="single" w:color="000000" w:sz="4" w:space="0"/>
            </w:tcBorders>
            <w:vAlign w:val="center"/>
          </w:tcPr>
          <w:p w14:paraId="2E9A796B">
            <w:pPr>
              <w:topLinePunct/>
              <w:spacing w:line="360" w:lineRule="auto"/>
              <w:ind w:left="-105" w:leftChars="-50" w:right="-105" w:rightChars="-50"/>
              <w:jc w:val="center"/>
              <w:rPr>
                <w:rFonts w:ascii="宋体" w:hAnsi="宋体" w:cs="仿宋"/>
              </w:rPr>
            </w:pPr>
            <w:r>
              <w:rPr>
                <w:rFonts w:hint="eastAsia" w:ascii="宋体" w:hAnsi="宋体" w:cs="仿宋"/>
              </w:rPr>
              <w:t>注册资金</w:t>
            </w:r>
          </w:p>
        </w:tc>
        <w:tc>
          <w:tcPr>
            <w:tcW w:w="2340" w:type="dxa"/>
            <w:tcBorders>
              <w:top w:val="single" w:color="000000" w:sz="4" w:space="0"/>
              <w:left w:val="single" w:color="000000" w:sz="4" w:space="0"/>
              <w:bottom w:val="single" w:color="000000" w:sz="4" w:space="0"/>
              <w:right w:val="single" w:color="000000" w:sz="4" w:space="0"/>
            </w:tcBorders>
            <w:vAlign w:val="center"/>
          </w:tcPr>
          <w:p w14:paraId="522C5B67">
            <w:pPr>
              <w:topLinePunct/>
              <w:spacing w:line="360" w:lineRule="auto"/>
              <w:jc w:val="center"/>
              <w:rPr>
                <w:rFonts w:ascii="宋体" w:hAnsi="宋体" w:cs="仿宋"/>
              </w:rPr>
            </w:pPr>
          </w:p>
        </w:tc>
      </w:tr>
      <w:tr w14:paraId="2EA3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tcBorders>
              <w:top w:val="single" w:color="000000" w:sz="4" w:space="0"/>
              <w:left w:val="single" w:color="000000" w:sz="4" w:space="0"/>
              <w:bottom w:val="single" w:color="000000" w:sz="4" w:space="0"/>
              <w:right w:val="single" w:color="000000" w:sz="4" w:space="0"/>
            </w:tcBorders>
            <w:vAlign w:val="center"/>
          </w:tcPr>
          <w:p w14:paraId="4A0B8EE6">
            <w:pPr>
              <w:topLinePunct/>
              <w:spacing w:line="360" w:lineRule="auto"/>
              <w:jc w:val="center"/>
              <w:rPr>
                <w:rFonts w:ascii="宋体" w:hAnsi="宋体" w:cs="仿宋"/>
              </w:rPr>
            </w:pPr>
            <w:r>
              <w:rPr>
                <w:rFonts w:hint="eastAsia" w:ascii="宋体" w:hAnsi="宋体" w:cs="仿宋"/>
              </w:rPr>
              <w:t>主要负责人</w:t>
            </w:r>
          </w:p>
        </w:tc>
        <w:tc>
          <w:tcPr>
            <w:tcW w:w="4169" w:type="dxa"/>
            <w:gridSpan w:val="2"/>
            <w:tcBorders>
              <w:top w:val="single" w:color="000000" w:sz="4" w:space="0"/>
              <w:left w:val="single" w:color="000000" w:sz="4" w:space="0"/>
              <w:bottom w:val="single" w:color="000000" w:sz="4" w:space="0"/>
              <w:right w:val="single" w:color="000000" w:sz="4" w:space="0"/>
            </w:tcBorders>
            <w:vAlign w:val="center"/>
          </w:tcPr>
          <w:p w14:paraId="71B9FAAC">
            <w:pPr>
              <w:topLinePunct/>
              <w:spacing w:line="360" w:lineRule="auto"/>
              <w:jc w:val="center"/>
              <w:rPr>
                <w:rFonts w:ascii="宋体" w:hAnsi="宋体" w:cs="仿宋"/>
              </w:rPr>
            </w:pPr>
          </w:p>
        </w:tc>
        <w:tc>
          <w:tcPr>
            <w:tcW w:w="1147" w:type="dxa"/>
            <w:tcBorders>
              <w:top w:val="single" w:color="000000" w:sz="4" w:space="0"/>
              <w:left w:val="single" w:color="000000" w:sz="4" w:space="0"/>
              <w:bottom w:val="single" w:color="000000" w:sz="4" w:space="0"/>
              <w:right w:val="single" w:color="000000" w:sz="4" w:space="0"/>
            </w:tcBorders>
            <w:vAlign w:val="center"/>
          </w:tcPr>
          <w:p w14:paraId="40E22FC6">
            <w:pPr>
              <w:topLinePunct/>
              <w:spacing w:line="360" w:lineRule="auto"/>
              <w:ind w:left="-105" w:leftChars="-50" w:right="-105" w:rightChars="-50"/>
              <w:jc w:val="center"/>
              <w:rPr>
                <w:rFonts w:ascii="宋体" w:hAnsi="宋体" w:cs="仿宋"/>
              </w:rPr>
            </w:pPr>
            <w:r>
              <w:rPr>
                <w:rFonts w:hint="eastAsia" w:ascii="宋体" w:hAnsi="宋体" w:cs="仿宋"/>
              </w:rPr>
              <w:t>电话</w:t>
            </w:r>
          </w:p>
        </w:tc>
        <w:tc>
          <w:tcPr>
            <w:tcW w:w="2340" w:type="dxa"/>
            <w:tcBorders>
              <w:top w:val="single" w:color="000000" w:sz="4" w:space="0"/>
              <w:left w:val="single" w:color="000000" w:sz="4" w:space="0"/>
              <w:bottom w:val="single" w:color="000000" w:sz="4" w:space="0"/>
              <w:right w:val="single" w:color="000000" w:sz="4" w:space="0"/>
            </w:tcBorders>
            <w:vAlign w:val="center"/>
          </w:tcPr>
          <w:p w14:paraId="4FB774B1">
            <w:pPr>
              <w:topLinePunct/>
              <w:spacing w:line="360" w:lineRule="auto"/>
              <w:jc w:val="center"/>
              <w:rPr>
                <w:rFonts w:ascii="宋体" w:hAnsi="宋体" w:cs="仿宋"/>
              </w:rPr>
            </w:pPr>
          </w:p>
        </w:tc>
      </w:tr>
      <w:tr w14:paraId="0094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vMerge w:val="restart"/>
            <w:tcBorders>
              <w:top w:val="single" w:color="000000" w:sz="4" w:space="0"/>
              <w:left w:val="single" w:color="000000" w:sz="4" w:space="0"/>
              <w:bottom w:val="single" w:color="000000" w:sz="4" w:space="0"/>
              <w:right w:val="single" w:color="000000" w:sz="4" w:space="0"/>
            </w:tcBorders>
            <w:vAlign w:val="center"/>
          </w:tcPr>
          <w:p w14:paraId="3A2C7BD3">
            <w:pPr>
              <w:topLinePunct/>
              <w:spacing w:line="360" w:lineRule="auto"/>
              <w:jc w:val="center"/>
              <w:rPr>
                <w:rFonts w:ascii="宋体" w:hAnsi="宋体" w:cs="仿宋"/>
              </w:rPr>
            </w:pPr>
            <w:r>
              <w:rPr>
                <w:rFonts w:hint="eastAsia" w:ascii="宋体" w:hAnsi="宋体" w:cs="仿宋"/>
              </w:rPr>
              <w:t>联系方式</w:t>
            </w:r>
          </w:p>
        </w:tc>
        <w:tc>
          <w:tcPr>
            <w:tcW w:w="1417" w:type="dxa"/>
            <w:tcBorders>
              <w:top w:val="single" w:color="000000" w:sz="4" w:space="0"/>
              <w:left w:val="single" w:color="000000" w:sz="4" w:space="0"/>
              <w:bottom w:val="single" w:color="000000" w:sz="4" w:space="0"/>
              <w:right w:val="single" w:color="000000" w:sz="4" w:space="0"/>
            </w:tcBorders>
            <w:vAlign w:val="center"/>
          </w:tcPr>
          <w:p w14:paraId="6D0435FA">
            <w:pPr>
              <w:topLinePunct/>
              <w:spacing w:line="360" w:lineRule="auto"/>
              <w:jc w:val="center"/>
              <w:rPr>
                <w:rFonts w:ascii="宋体" w:hAnsi="宋体" w:cs="仿宋"/>
              </w:rPr>
            </w:pPr>
            <w:r>
              <w:rPr>
                <w:rFonts w:hint="eastAsia" w:ascii="宋体" w:hAnsi="宋体" w:cs="仿宋"/>
              </w:rPr>
              <w:t>联系人</w:t>
            </w:r>
          </w:p>
        </w:tc>
        <w:tc>
          <w:tcPr>
            <w:tcW w:w="2752" w:type="dxa"/>
            <w:tcBorders>
              <w:top w:val="single" w:color="000000" w:sz="4" w:space="0"/>
              <w:left w:val="single" w:color="000000" w:sz="4" w:space="0"/>
              <w:bottom w:val="single" w:color="000000" w:sz="4" w:space="0"/>
              <w:right w:val="single" w:color="000000" w:sz="4" w:space="0"/>
            </w:tcBorders>
            <w:vAlign w:val="center"/>
          </w:tcPr>
          <w:p w14:paraId="0B8FF45C">
            <w:pPr>
              <w:topLinePunct/>
              <w:spacing w:line="360" w:lineRule="auto"/>
              <w:jc w:val="center"/>
              <w:rPr>
                <w:rFonts w:ascii="宋体" w:hAnsi="宋体" w:cs="仿宋"/>
              </w:rPr>
            </w:pPr>
          </w:p>
        </w:tc>
        <w:tc>
          <w:tcPr>
            <w:tcW w:w="1147" w:type="dxa"/>
            <w:tcBorders>
              <w:top w:val="single" w:color="000000" w:sz="4" w:space="0"/>
              <w:left w:val="single" w:color="000000" w:sz="4" w:space="0"/>
              <w:bottom w:val="single" w:color="000000" w:sz="4" w:space="0"/>
              <w:right w:val="single" w:color="000000" w:sz="4" w:space="0"/>
            </w:tcBorders>
            <w:vAlign w:val="center"/>
          </w:tcPr>
          <w:p w14:paraId="2CBB4575">
            <w:pPr>
              <w:topLinePunct/>
              <w:spacing w:line="360" w:lineRule="auto"/>
              <w:ind w:left="-105" w:leftChars="-50" w:right="-105" w:rightChars="-50"/>
              <w:jc w:val="center"/>
              <w:rPr>
                <w:rFonts w:ascii="宋体" w:hAnsi="宋体" w:cs="仿宋"/>
              </w:rPr>
            </w:pPr>
            <w:r>
              <w:rPr>
                <w:rFonts w:hint="eastAsia" w:ascii="宋体" w:hAnsi="宋体" w:cs="仿宋"/>
              </w:rPr>
              <w:t>电话</w:t>
            </w:r>
          </w:p>
        </w:tc>
        <w:tc>
          <w:tcPr>
            <w:tcW w:w="2340" w:type="dxa"/>
            <w:tcBorders>
              <w:top w:val="single" w:color="000000" w:sz="4" w:space="0"/>
              <w:left w:val="single" w:color="000000" w:sz="4" w:space="0"/>
              <w:bottom w:val="single" w:color="000000" w:sz="4" w:space="0"/>
              <w:right w:val="single" w:color="000000" w:sz="4" w:space="0"/>
            </w:tcBorders>
            <w:vAlign w:val="center"/>
          </w:tcPr>
          <w:p w14:paraId="0FA514FC">
            <w:pPr>
              <w:topLinePunct/>
              <w:spacing w:line="360" w:lineRule="auto"/>
              <w:jc w:val="center"/>
              <w:rPr>
                <w:rFonts w:ascii="宋体" w:hAnsi="宋体" w:cs="仿宋"/>
              </w:rPr>
            </w:pPr>
          </w:p>
        </w:tc>
      </w:tr>
      <w:tr w14:paraId="06F59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vMerge w:val="continue"/>
            <w:tcBorders>
              <w:top w:val="single" w:color="000000" w:sz="4" w:space="0"/>
              <w:left w:val="single" w:color="000000" w:sz="4" w:space="0"/>
              <w:bottom w:val="single" w:color="000000" w:sz="4" w:space="0"/>
              <w:right w:val="single" w:color="000000" w:sz="4" w:space="0"/>
            </w:tcBorders>
            <w:vAlign w:val="center"/>
          </w:tcPr>
          <w:p w14:paraId="6B61BCD0">
            <w:pPr>
              <w:widowControl/>
              <w:spacing w:line="360" w:lineRule="auto"/>
              <w:jc w:val="left"/>
              <w:rPr>
                <w:rFonts w:ascii="宋体" w:hAnsi="宋体" w:cs="仿宋"/>
              </w:rPr>
            </w:pPr>
          </w:p>
        </w:tc>
        <w:tc>
          <w:tcPr>
            <w:tcW w:w="1417" w:type="dxa"/>
            <w:tcBorders>
              <w:top w:val="single" w:color="000000" w:sz="4" w:space="0"/>
              <w:left w:val="single" w:color="000000" w:sz="4" w:space="0"/>
              <w:bottom w:val="single" w:color="000000" w:sz="4" w:space="0"/>
              <w:right w:val="single" w:color="000000" w:sz="4" w:space="0"/>
            </w:tcBorders>
            <w:vAlign w:val="center"/>
          </w:tcPr>
          <w:p w14:paraId="25B0A1C0">
            <w:pPr>
              <w:topLinePunct/>
              <w:spacing w:line="360" w:lineRule="auto"/>
              <w:jc w:val="center"/>
              <w:rPr>
                <w:rFonts w:ascii="宋体" w:hAnsi="宋体" w:cs="仿宋"/>
              </w:rPr>
            </w:pPr>
            <w:r>
              <w:rPr>
                <w:rFonts w:hint="eastAsia" w:ascii="宋体" w:hAnsi="宋体" w:cs="仿宋"/>
              </w:rPr>
              <w:t>传  真</w:t>
            </w:r>
          </w:p>
        </w:tc>
        <w:tc>
          <w:tcPr>
            <w:tcW w:w="2752" w:type="dxa"/>
            <w:tcBorders>
              <w:top w:val="single" w:color="000000" w:sz="4" w:space="0"/>
              <w:left w:val="single" w:color="000000" w:sz="4" w:space="0"/>
              <w:bottom w:val="single" w:color="000000" w:sz="4" w:space="0"/>
              <w:right w:val="single" w:color="000000" w:sz="4" w:space="0"/>
            </w:tcBorders>
            <w:vAlign w:val="center"/>
          </w:tcPr>
          <w:p w14:paraId="6D35B87D">
            <w:pPr>
              <w:topLinePunct/>
              <w:spacing w:line="360" w:lineRule="auto"/>
              <w:jc w:val="center"/>
              <w:rPr>
                <w:rFonts w:ascii="宋体" w:hAnsi="宋体" w:cs="仿宋"/>
              </w:rPr>
            </w:pPr>
          </w:p>
        </w:tc>
        <w:tc>
          <w:tcPr>
            <w:tcW w:w="1147" w:type="dxa"/>
            <w:tcBorders>
              <w:top w:val="single" w:color="000000" w:sz="4" w:space="0"/>
              <w:left w:val="single" w:color="000000" w:sz="4" w:space="0"/>
              <w:bottom w:val="single" w:color="000000" w:sz="4" w:space="0"/>
              <w:right w:val="single" w:color="000000" w:sz="4" w:space="0"/>
            </w:tcBorders>
            <w:vAlign w:val="center"/>
          </w:tcPr>
          <w:p w14:paraId="7E4DC38F">
            <w:pPr>
              <w:topLinePunct/>
              <w:spacing w:line="360" w:lineRule="auto"/>
              <w:ind w:left="-105" w:leftChars="-50" w:right="-105" w:rightChars="-50"/>
              <w:jc w:val="center"/>
              <w:rPr>
                <w:rFonts w:ascii="宋体" w:hAnsi="宋体" w:cs="仿宋"/>
              </w:rPr>
            </w:pPr>
            <w:r>
              <w:rPr>
                <w:rFonts w:hint="eastAsia" w:ascii="宋体" w:hAnsi="宋体" w:cs="仿宋"/>
              </w:rPr>
              <w:t>电子邮箱</w:t>
            </w:r>
          </w:p>
        </w:tc>
        <w:tc>
          <w:tcPr>
            <w:tcW w:w="2340" w:type="dxa"/>
            <w:tcBorders>
              <w:top w:val="single" w:color="000000" w:sz="4" w:space="0"/>
              <w:left w:val="single" w:color="000000" w:sz="4" w:space="0"/>
              <w:bottom w:val="single" w:color="000000" w:sz="4" w:space="0"/>
              <w:right w:val="single" w:color="000000" w:sz="4" w:space="0"/>
            </w:tcBorders>
            <w:vAlign w:val="center"/>
          </w:tcPr>
          <w:p w14:paraId="33E5130B">
            <w:pPr>
              <w:topLinePunct/>
              <w:spacing w:line="360" w:lineRule="auto"/>
              <w:jc w:val="center"/>
              <w:rPr>
                <w:rFonts w:ascii="宋体" w:hAnsi="宋体" w:cs="仿宋"/>
              </w:rPr>
            </w:pPr>
          </w:p>
        </w:tc>
      </w:tr>
      <w:tr w14:paraId="70F1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tcBorders>
              <w:top w:val="single" w:color="000000" w:sz="4" w:space="0"/>
              <w:left w:val="single" w:color="000000" w:sz="4" w:space="0"/>
              <w:bottom w:val="single" w:color="000000" w:sz="4" w:space="0"/>
              <w:right w:val="single" w:color="000000" w:sz="4" w:space="0"/>
            </w:tcBorders>
            <w:vAlign w:val="center"/>
          </w:tcPr>
          <w:p w14:paraId="01EAADBA">
            <w:pPr>
              <w:widowControl/>
              <w:spacing w:line="360" w:lineRule="auto"/>
              <w:jc w:val="left"/>
              <w:rPr>
                <w:rFonts w:ascii="宋体" w:hAnsi="宋体" w:cs="仿宋"/>
              </w:rPr>
            </w:pPr>
            <w:r>
              <w:rPr>
                <w:rFonts w:hint="eastAsia" w:ascii="宋体" w:hAnsi="宋体" w:cs="仿宋"/>
              </w:rPr>
              <w:t>统一社会信用代码</w:t>
            </w:r>
          </w:p>
        </w:tc>
        <w:tc>
          <w:tcPr>
            <w:tcW w:w="7656" w:type="dxa"/>
            <w:gridSpan w:val="4"/>
            <w:tcBorders>
              <w:top w:val="single" w:color="000000" w:sz="4" w:space="0"/>
              <w:left w:val="single" w:color="000000" w:sz="4" w:space="0"/>
              <w:bottom w:val="single" w:color="000000" w:sz="4" w:space="0"/>
              <w:right w:val="single" w:color="000000" w:sz="4" w:space="0"/>
            </w:tcBorders>
            <w:vAlign w:val="center"/>
          </w:tcPr>
          <w:p w14:paraId="5FDB8EE1">
            <w:pPr>
              <w:topLinePunct/>
              <w:spacing w:line="360" w:lineRule="auto"/>
              <w:jc w:val="center"/>
              <w:rPr>
                <w:rFonts w:ascii="宋体" w:hAnsi="宋体" w:cs="仿宋"/>
              </w:rPr>
            </w:pPr>
          </w:p>
        </w:tc>
      </w:tr>
      <w:tr w14:paraId="444D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tcBorders>
              <w:top w:val="single" w:color="000000" w:sz="4" w:space="0"/>
              <w:left w:val="single" w:color="000000" w:sz="4" w:space="0"/>
              <w:bottom w:val="single" w:color="000000" w:sz="4" w:space="0"/>
              <w:right w:val="single" w:color="000000" w:sz="4" w:space="0"/>
            </w:tcBorders>
            <w:vAlign w:val="center"/>
          </w:tcPr>
          <w:p w14:paraId="55B19C5A">
            <w:pPr>
              <w:widowControl/>
              <w:spacing w:line="360" w:lineRule="auto"/>
              <w:jc w:val="left"/>
              <w:rPr>
                <w:rFonts w:ascii="宋体" w:hAnsi="宋体" w:cs="仿宋"/>
              </w:rPr>
            </w:pPr>
            <w:r>
              <w:rPr>
                <w:rFonts w:hint="eastAsia" w:cs="仿宋"/>
              </w:rPr>
              <w:t>开户行</w:t>
            </w:r>
          </w:p>
        </w:tc>
        <w:tc>
          <w:tcPr>
            <w:tcW w:w="7656" w:type="dxa"/>
            <w:gridSpan w:val="4"/>
            <w:tcBorders>
              <w:top w:val="single" w:color="000000" w:sz="4" w:space="0"/>
              <w:left w:val="single" w:color="000000" w:sz="4" w:space="0"/>
              <w:bottom w:val="single" w:color="000000" w:sz="4" w:space="0"/>
              <w:right w:val="single" w:color="000000" w:sz="4" w:space="0"/>
            </w:tcBorders>
            <w:vAlign w:val="center"/>
          </w:tcPr>
          <w:p w14:paraId="2F3BB0E0">
            <w:pPr>
              <w:topLinePunct/>
              <w:spacing w:line="360" w:lineRule="auto"/>
              <w:jc w:val="center"/>
              <w:rPr>
                <w:rFonts w:ascii="宋体" w:hAnsi="宋体" w:cs="仿宋"/>
              </w:rPr>
            </w:pPr>
          </w:p>
        </w:tc>
      </w:tr>
      <w:tr w14:paraId="79C09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tcBorders>
              <w:top w:val="single" w:color="000000" w:sz="4" w:space="0"/>
              <w:left w:val="single" w:color="000000" w:sz="4" w:space="0"/>
              <w:bottom w:val="single" w:color="000000" w:sz="4" w:space="0"/>
              <w:right w:val="single" w:color="000000" w:sz="4" w:space="0"/>
            </w:tcBorders>
            <w:vAlign w:val="center"/>
          </w:tcPr>
          <w:p w14:paraId="40AE8583">
            <w:pPr>
              <w:widowControl/>
              <w:spacing w:line="360" w:lineRule="auto"/>
              <w:jc w:val="left"/>
              <w:rPr>
                <w:rFonts w:cs="仿宋"/>
              </w:rPr>
            </w:pPr>
            <w:r>
              <w:rPr>
                <w:rFonts w:hint="eastAsia" w:cs="仿宋"/>
              </w:rPr>
              <w:t>联行号</w:t>
            </w:r>
          </w:p>
        </w:tc>
        <w:tc>
          <w:tcPr>
            <w:tcW w:w="7656" w:type="dxa"/>
            <w:gridSpan w:val="4"/>
            <w:tcBorders>
              <w:top w:val="single" w:color="000000" w:sz="4" w:space="0"/>
              <w:left w:val="single" w:color="000000" w:sz="4" w:space="0"/>
              <w:bottom w:val="single" w:color="000000" w:sz="4" w:space="0"/>
              <w:right w:val="single" w:color="000000" w:sz="4" w:space="0"/>
            </w:tcBorders>
            <w:vAlign w:val="center"/>
          </w:tcPr>
          <w:p w14:paraId="557A862E">
            <w:pPr>
              <w:topLinePunct/>
              <w:spacing w:line="360" w:lineRule="auto"/>
              <w:jc w:val="center"/>
              <w:rPr>
                <w:rFonts w:ascii="宋体" w:hAnsi="宋体" w:cs="仿宋"/>
              </w:rPr>
            </w:pPr>
          </w:p>
        </w:tc>
      </w:tr>
      <w:tr w14:paraId="649E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tcBorders>
              <w:top w:val="single" w:color="000000" w:sz="4" w:space="0"/>
              <w:left w:val="single" w:color="000000" w:sz="4" w:space="0"/>
              <w:bottom w:val="single" w:color="000000" w:sz="4" w:space="0"/>
              <w:right w:val="single" w:color="000000" w:sz="4" w:space="0"/>
            </w:tcBorders>
            <w:vAlign w:val="center"/>
          </w:tcPr>
          <w:p w14:paraId="281E5482">
            <w:pPr>
              <w:widowControl/>
              <w:spacing w:line="360" w:lineRule="auto"/>
              <w:jc w:val="left"/>
              <w:rPr>
                <w:rFonts w:cs="仿宋"/>
              </w:rPr>
            </w:pPr>
            <w:r>
              <w:rPr>
                <w:rFonts w:hint="eastAsia" w:cs="仿宋"/>
              </w:rPr>
              <w:t>银行账号</w:t>
            </w:r>
          </w:p>
        </w:tc>
        <w:tc>
          <w:tcPr>
            <w:tcW w:w="7656" w:type="dxa"/>
            <w:gridSpan w:val="4"/>
            <w:tcBorders>
              <w:top w:val="single" w:color="000000" w:sz="4" w:space="0"/>
              <w:left w:val="single" w:color="000000" w:sz="4" w:space="0"/>
              <w:bottom w:val="single" w:color="000000" w:sz="4" w:space="0"/>
              <w:right w:val="single" w:color="000000" w:sz="4" w:space="0"/>
            </w:tcBorders>
            <w:vAlign w:val="center"/>
          </w:tcPr>
          <w:p w14:paraId="507C29E4">
            <w:pPr>
              <w:topLinePunct/>
              <w:spacing w:line="360" w:lineRule="auto"/>
              <w:jc w:val="center"/>
              <w:rPr>
                <w:rFonts w:ascii="宋体" w:hAnsi="宋体" w:cs="仿宋"/>
              </w:rPr>
            </w:pPr>
          </w:p>
        </w:tc>
      </w:tr>
      <w:tr w14:paraId="3886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7" w:hRule="atLeast"/>
        </w:trPr>
        <w:tc>
          <w:tcPr>
            <w:tcW w:w="1560" w:type="dxa"/>
            <w:tcBorders>
              <w:top w:val="single" w:color="000000" w:sz="4" w:space="0"/>
              <w:left w:val="single" w:color="000000" w:sz="4" w:space="0"/>
              <w:bottom w:val="single" w:color="000000" w:sz="4" w:space="0"/>
              <w:right w:val="single" w:color="000000" w:sz="4" w:space="0"/>
            </w:tcBorders>
            <w:vAlign w:val="center"/>
          </w:tcPr>
          <w:p w14:paraId="129125C9">
            <w:pPr>
              <w:topLinePunct/>
              <w:spacing w:line="360" w:lineRule="auto"/>
              <w:jc w:val="center"/>
              <w:rPr>
                <w:rFonts w:ascii="宋体" w:hAnsi="宋体" w:cs="仿宋"/>
              </w:rPr>
            </w:pPr>
            <w:r>
              <w:rPr>
                <w:rFonts w:hint="eastAsia" w:ascii="宋体" w:hAnsi="宋体" w:cs="仿宋"/>
              </w:rPr>
              <w:t>企业</w:t>
            </w:r>
          </w:p>
          <w:p w14:paraId="308D6D71">
            <w:pPr>
              <w:topLinePunct/>
              <w:spacing w:line="360" w:lineRule="auto"/>
              <w:jc w:val="center"/>
              <w:rPr>
                <w:rFonts w:ascii="宋体" w:hAnsi="宋体" w:cs="仿宋"/>
                <w:sz w:val="24"/>
              </w:rPr>
            </w:pPr>
            <w:r>
              <w:rPr>
                <w:rFonts w:hint="eastAsia" w:ascii="宋体" w:hAnsi="宋体" w:cs="仿宋"/>
              </w:rPr>
              <w:t>基本情况</w:t>
            </w:r>
          </w:p>
        </w:tc>
        <w:tc>
          <w:tcPr>
            <w:tcW w:w="7656" w:type="dxa"/>
            <w:gridSpan w:val="4"/>
            <w:tcBorders>
              <w:top w:val="single" w:color="000000" w:sz="4" w:space="0"/>
              <w:left w:val="single" w:color="000000" w:sz="4" w:space="0"/>
              <w:bottom w:val="single" w:color="000000" w:sz="4" w:space="0"/>
              <w:right w:val="single" w:color="000000" w:sz="4" w:space="0"/>
            </w:tcBorders>
          </w:tcPr>
          <w:p w14:paraId="261D228A">
            <w:pPr>
              <w:topLinePunct/>
              <w:spacing w:line="360" w:lineRule="auto"/>
              <w:rPr>
                <w:rFonts w:ascii="宋体" w:hAnsi="宋体" w:cs="仿宋"/>
              </w:rPr>
            </w:pPr>
            <w:r>
              <w:rPr>
                <w:rFonts w:hint="eastAsia" w:ascii="宋体" w:hAnsi="宋体" w:cs="仿宋"/>
              </w:rPr>
              <w:t>经营范围：</w:t>
            </w:r>
          </w:p>
        </w:tc>
      </w:tr>
    </w:tbl>
    <w:p w14:paraId="5527F6F7">
      <w:pPr>
        <w:topLinePunct/>
        <w:spacing w:line="360" w:lineRule="auto"/>
        <w:ind w:firstLine="480" w:firstLineChars="200"/>
        <w:jc w:val="left"/>
        <w:rPr>
          <w:rFonts w:ascii="宋体" w:hAnsi="宋体" w:cs="仿宋"/>
          <w:sz w:val="24"/>
        </w:rPr>
      </w:pPr>
      <w:r>
        <w:rPr>
          <w:rFonts w:hint="eastAsia" w:ascii="宋体" w:hAnsi="宋体" w:cs="仿宋"/>
          <w:sz w:val="24"/>
        </w:rPr>
        <w:t>注：本表可增加并扩展。</w:t>
      </w:r>
    </w:p>
    <w:p w14:paraId="512F93FE">
      <w:pPr>
        <w:pStyle w:val="27"/>
        <w:ind w:left="560" w:firstLine="0"/>
      </w:pPr>
      <w:r>
        <w:rPr>
          <w:rFonts w:hint="eastAsia" w:ascii="宋体" w:hAnsi="宋体" w:cs="仿宋"/>
        </w:rPr>
        <w:t>附：</w:t>
      </w:r>
      <w:r>
        <w:rPr>
          <w:rFonts w:hint="eastAsia" w:ascii="宋体" w:hAnsi="宋体" w:cs="宋体"/>
        </w:rPr>
        <w:t>包括但不限于：营业执照、资质证书、体系认证、资信等级、</w:t>
      </w:r>
      <w:r>
        <w:rPr>
          <w:rFonts w:hint="eastAsia" w:cs="宋体"/>
        </w:rPr>
        <w:t>人员资格证书、业绩</w:t>
      </w:r>
      <w:r>
        <w:rPr>
          <w:rFonts w:hint="eastAsia" w:ascii="宋体" w:hAnsi="宋体" w:cs="宋体"/>
        </w:rPr>
        <w:t>合同、获奖证书等</w:t>
      </w:r>
      <w:r>
        <w:rPr>
          <w:rFonts w:hint="eastAsia" w:cs="宋体"/>
        </w:rPr>
        <w:t>的复印件，加盖公章</w:t>
      </w:r>
      <w:r>
        <w:rPr>
          <w:rFonts w:hint="eastAsia" w:ascii="宋体" w:hAnsi="宋体" w:cs="宋体"/>
        </w:rPr>
        <w:t>。</w:t>
      </w:r>
    </w:p>
    <w:p w14:paraId="0ADDBF37">
      <w:pPr>
        <w:rPr>
          <w:rFonts w:ascii="宋体" w:hAnsi="宋体" w:eastAsia="宋体" w:cs="宋体"/>
          <w:bCs/>
          <w:sz w:val="28"/>
          <w:szCs w:val="28"/>
        </w:rPr>
      </w:pPr>
      <w:r>
        <w:rPr>
          <w:rFonts w:hint="eastAsia" w:ascii="宋体" w:hAnsi="宋体" w:eastAsia="宋体" w:cs="宋体"/>
          <w:bCs/>
          <w:sz w:val="28"/>
          <w:szCs w:val="28"/>
        </w:rPr>
        <w:br w:type="page"/>
      </w:r>
    </w:p>
    <w:p w14:paraId="5F7D8305">
      <w:pPr>
        <w:spacing w:line="360" w:lineRule="auto"/>
        <w:jc w:val="center"/>
        <w:rPr>
          <w:rStyle w:val="31"/>
          <w:rFonts w:ascii="宋体" w:eastAsia="宋体" w:cs="宋体"/>
        </w:rPr>
      </w:pPr>
      <w:r>
        <w:rPr>
          <w:rFonts w:hint="eastAsia" w:ascii="宋体" w:hAnsi="宋体" w:eastAsia="宋体" w:cs="宋体"/>
          <w:bCs/>
          <w:sz w:val="28"/>
          <w:szCs w:val="28"/>
        </w:rPr>
        <w:t>4.2</w:t>
      </w:r>
      <w:r>
        <w:rPr>
          <w:rFonts w:hint="eastAsia" w:eastAsia="宋体" w:cs="宋体"/>
          <w:bCs/>
          <w:sz w:val="28"/>
          <w:szCs w:val="28"/>
        </w:rPr>
        <w:t xml:space="preserve"> </w:t>
      </w:r>
      <w:r>
        <w:rPr>
          <w:rFonts w:hint="eastAsia" w:ascii="宋体" w:hAnsi="宋体" w:eastAsia="宋体" w:cs="宋体"/>
          <w:bCs/>
          <w:sz w:val="28"/>
          <w:szCs w:val="28"/>
        </w:rPr>
        <w:t>符合资格条件的业绩汇总表</w:t>
      </w:r>
    </w:p>
    <w:tbl>
      <w:tblPr>
        <w:tblStyle w:val="1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1"/>
        <w:gridCol w:w="2036"/>
        <w:gridCol w:w="3053"/>
        <w:gridCol w:w="1276"/>
        <w:gridCol w:w="1701"/>
      </w:tblGrid>
      <w:tr w14:paraId="4C61B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trPr>
        <w:tc>
          <w:tcPr>
            <w:tcW w:w="831" w:type="dxa"/>
            <w:vAlign w:val="center"/>
          </w:tcPr>
          <w:p w14:paraId="6CC8AD37">
            <w:pPr>
              <w:spacing w:line="360" w:lineRule="auto"/>
              <w:jc w:val="center"/>
              <w:rPr>
                <w:rFonts w:ascii="宋体" w:hAnsi="宋体" w:cs="仿宋"/>
                <w:sz w:val="24"/>
              </w:rPr>
            </w:pPr>
            <w:r>
              <w:rPr>
                <w:rFonts w:hint="eastAsia" w:ascii="宋体" w:hAnsi="宋体" w:cs="仿宋"/>
                <w:sz w:val="24"/>
              </w:rPr>
              <w:t>序号</w:t>
            </w:r>
          </w:p>
        </w:tc>
        <w:tc>
          <w:tcPr>
            <w:tcW w:w="2036" w:type="dxa"/>
            <w:vAlign w:val="center"/>
          </w:tcPr>
          <w:p w14:paraId="0C7E1FC0">
            <w:pPr>
              <w:spacing w:line="360" w:lineRule="auto"/>
              <w:jc w:val="center"/>
              <w:rPr>
                <w:rFonts w:ascii="宋体" w:hAnsi="宋体" w:cs="仿宋"/>
                <w:sz w:val="24"/>
              </w:rPr>
            </w:pPr>
            <w:bookmarkStart w:id="675" w:name="_Toc351401531"/>
            <w:bookmarkStart w:id="676" w:name="_Toc351401530"/>
            <w:r>
              <w:rPr>
                <w:rFonts w:hint="eastAsia" w:ascii="宋体" w:hAnsi="宋体" w:cs="仿宋"/>
                <w:sz w:val="24"/>
              </w:rPr>
              <w:t>项目</w:t>
            </w:r>
            <w:bookmarkEnd w:id="675"/>
            <w:r>
              <w:rPr>
                <w:rFonts w:hint="eastAsia" w:ascii="宋体" w:hAnsi="宋体" w:cs="仿宋"/>
                <w:sz w:val="24"/>
              </w:rPr>
              <w:t>名称</w:t>
            </w:r>
            <w:bookmarkEnd w:id="676"/>
          </w:p>
        </w:tc>
        <w:tc>
          <w:tcPr>
            <w:tcW w:w="3053" w:type="dxa"/>
            <w:vAlign w:val="center"/>
          </w:tcPr>
          <w:p w14:paraId="0384FCE0">
            <w:pPr>
              <w:spacing w:line="360" w:lineRule="auto"/>
              <w:jc w:val="center"/>
              <w:rPr>
                <w:rFonts w:ascii="宋体" w:hAnsi="宋体" w:eastAsia="宋体" w:cs="仿宋"/>
                <w:sz w:val="24"/>
              </w:rPr>
            </w:pPr>
            <w:r>
              <w:rPr>
                <w:rFonts w:hint="eastAsia" w:cs="仿宋"/>
                <w:sz w:val="24"/>
              </w:rPr>
              <w:t>数量</w:t>
            </w:r>
          </w:p>
        </w:tc>
        <w:tc>
          <w:tcPr>
            <w:tcW w:w="1276" w:type="dxa"/>
            <w:vAlign w:val="center"/>
          </w:tcPr>
          <w:p w14:paraId="769483A8">
            <w:pPr>
              <w:spacing w:line="360" w:lineRule="auto"/>
              <w:jc w:val="center"/>
              <w:rPr>
                <w:rFonts w:ascii="宋体" w:hAnsi="宋体" w:eastAsia="宋体" w:cs="仿宋"/>
                <w:sz w:val="24"/>
              </w:rPr>
            </w:pPr>
            <w:r>
              <w:rPr>
                <w:rFonts w:hint="eastAsia" w:cs="仿宋"/>
                <w:sz w:val="24"/>
              </w:rPr>
              <w:t>金额</w:t>
            </w:r>
          </w:p>
        </w:tc>
        <w:tc>
          <w:tcPr>
            <w:tcW w:w="1701" w:type="dxa"/>
            <w:vAlign w:val="center"/>
          </w:tcPr>
          <w:p w14:paraId="633A5841">
            <w:pPr>
              <w:spacing w:line="360" w:lineRule="auto"/>
              <w:jc w:val="center"/>
              <w:rPr>
                <w:rFonts w:ascii="宋体" w:hAnsi="宋体" w:cs="仿宋"/>
                <w:sz w:val="24"/>
              </w:rPr>
            </w:pPr>
            <w:r>
              <w:rPr>
                <w:rFonts w:hint="eastAsia" w:ascii="宋体" w:hAnsi="宋体" w:cs="仿宋"/>
                <w:sz w:val="24"/>
              </w:rPr>
              <w:t>签订日期</w:t>
            </w:r>
          </w:p>
          <w:p w14:paraId="0638A702">
            <w:pPr>
              <w:spacing w:line="360" w:lineRule="auto"/>
              <w:jc w:val="center"/>
              <w:rPr>
                <w:rFonts w:ascii="宋体" w:hAnsi="宋体" w:cs="仿宋"/>
                <w:sz w:val="24"/>
              </w:rPr>
            </w:pPr>
            <w:r>
              <w:rPr>
                <w:rFonts w:hint="eastAsia" w:ascii="宋体" w:hAnsi="宋体" w:cs="仿宋"/>
                <w:sz w:val="24"/>
              </w:rPr>
              <w:t>（年月）</w:t>
            </w:r>
          </w:p>
        </w:tc>
      </w:tr>
      <w:tr w14:paraId="7106C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831" w:type="dxa"/>
            <w:vAlign w:val="center"/>
          </w:tcPr>
          <w:p w14:paraId="11C27577">
            <w:pPr>
              <w:spacing w:line="360" w:lineRule="auto"/>
              <w:jc w:val="center"/>
              <w:rPr>
                <w:rFonts w:ascii="宋体" w:hAnsi="宋体" w:cs="仿宋"/>
                <w:sz w:val="24"/>
              </w:rPr>
            </w:pPr>
            <w:r>
              <w:rPr>
                <w:rFonts w:hint="eastAsia" w:ascii="宋体" w:hAnsi="宋体" w:cs="仿宋"/>
                <w:sz w:val="24"/>
              </w:rPr>
              <w:t>1</w:t>
            </w:r>
          </w:p>
        </w:tc>
        <w:tc>
          <w:tcPr>
            <w:tcW w:w="2036" w:type="dxa"/>
            <w:vAlign w:val="center"/>
          </w:tcPr>
          <w:p w14:paraId="2F3C6FD1">
            <w:pPr>
              <w:pStyle w:val="32"/>
              <w:spacing w:beforeLines="0" w:line="360" w:lineRule="auto"/>
              <w:rPr>
                <w:rFonts w:hint="default" w:ascii="宋体" w:hAnsi="宋体" w:cs="仿宋"/>
                <w:b w:val="0"/>
                <w:sz w:val="24"/>
                <w:szCs w:val="24"/>
              </w:rPr>
            </w:pPr>
          </w:p>
        </w:tc>
        <w:tc>
          <w:tcPr>
            <w:tcW w:w="3053" w:type="dxa"/>
            <w:vAlign w:val="center"/>
          </w:tcPr>
          <w:p w14:paraId="697CAA56">
            <w:pPr>
              <w:pStyle w:val="32"/>
              <w:spacing w:beforeLines="0" w:line="360" w:lineRule="auto"/>
              <w:rPr>
                <w:rFonts w:hint="default" w:ascii="宋体" w:hAnsi="宋体" w:cs="仿宋"/>
                <w:b w:val="0"/>
                <w:sz w:val="24"/>
                <w:szCs w:val="24"/>
              </w:rPr>
            </w:pPr>
          </w:p>
        </w:tc>
        <w:tc>
          <w:tcPr>
            <w:tcW w:w="1276" w:type="dxa"/>
            <w:vAlign w:val="center"/>
          </w:tcPr>
          <w:p w14:paraId="2C76005D">
            <w:pPr>
              <w:pStyle w:val="32"/>
              <w:spacing w:beforeLines="0" w:line="360" w:lineRule="auto"/>
              <w:rPr>
                <w:rFonts w:hint="default" w:ascii="宋体" w:hAnsi="宋体" w:cs="仿宋"/>
                <w:b w:val="0"/>
                <w:sz w:val="24"/>
                <w:szCs w:val="24"/>
              </w:rPr>
            </w:pPr>
          </w:p>
        </w:tc>
        <w:tc>
          <w:tcPr>
            <w:tcW w:w="1701" w:type="dxa"/>
            <w:vAlign w:val="center"/>
          </w:tcPr>
          <w:p w14:paraId="5334F4D1">
            <w:pPr>
              <w:pStyle w:val="32"/>
              <w:spacing w:beforeLines="0" w:line="360" w:lineRule="auto"/>
              <w:rPr>
                <w:rFonts w:hint="default" w:ascii="宋体" w:hAnsi="宋体" w:cs="仿宋"/>
                <w:b w:val="0"/>
                <w:sz w:val="24"/>
                <w:szCs w:val="24"/>
              </w:rPr>
            </w:pPr>
          </w:p>
        </w:tc>
      </w:tr>
      <w:tr w14:paraId="553BF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831" w:type="dxa"/>
            <w:vAlign w:val="center"/>
          </w:tcPr>
          <w:p w14:paraId="0D27992D">
            <w:pPr>
              <w:spacing w:line="360" w:lineRule="auto"/>
              <w:jc w:val="center"/>
              <w:rPr>
                <w:rFonts w:ascii="宋体" w:hAnsi="宋体" w:cs="仿宋"/>
                <w:sz w:val="24"/>
              </w:rPr>
            </w:pPr>
            <w:r>
              <w:rPr>
                <w:rFonts w:hint="eastAsia" w:ascii="宋体" w:hAnsi="宋体" w:cs="仿宋"/>
                <w:sz w:val="24"/>
              </w:rPr>
              <w:t>2</w:t>
            </w:r>
          </w:p>
        </w:tc>
        <w:tc>
          <w:tcPr>
            <w:tcW w:w="2036" w:type="dxa"/>
            <w:vAlign w:val="center"/>
          </w:tcPr>
          <w:p w14:paraId="4205D563">
            <w:pPr>
              <w:pStyle w:val="32"/>
              <w:spacing w:beforeLines="0" w:line="360" w:lineRule="auto"/>
              <w:rPr>
                <w:rFonts w:hint="default" w:ascii="宋体" w:hAnsi="宋体" w:cs="仿宋"/>
                <w:b w:val="0"/>
                <w:sz w:val="24"/>
                <w:szCs w:val="24"/>
              </w:rPr>
            </w:pPr>
          </w:p>
        </w:tc>
        <w:tc>
          <w:tcPr>
            <w:tcW w:w="3053" w:type="dxa"/>
            <w:vAlign w:val="center"/>
          </w:tcPr>
          <w:p w14:paraId="42BA079F">
            <w:pPr>
              <w:pStyle w:val="32"/>
              <w:spacing w:beforeLines="0" w:line="360" w:lineRule="auto"/>
              <w:rPr>
                <w:rFonts w:hint="default" w:ascii="宋体" w:hAnsi="宋体" w:cs="仿宋"/>
                <w:b w:val="0"/>
                <w:sz w:val="24"/>
                <w:szCs w:val="24"/>
              </w:rPr>
            </w:pPr>
          </w:p>
        </w:tc>
        <w:tc>
          <w:tcPr>
            <w:tcW w:w="1276" w:type="dxa"/>
            <w:vAlign w:val="center"/>
          </w:tcPr>
          <w:p w14:paraId="24CB5278">
            <w:pPr>
              <w:pStyle w:val="32"/>
              <w:spacing w:beforeLines="0" w:line="360" w:lineRule="auto"/>
              <w:rPr>
                <w:rFonts w:hint="default" w:ascii="宋体" w:hAnsi="宋体" w:cs="仿宋"/>
                <w:b w:val="0"/>
                <w:sz w:val="24"/>
                <w:szCs w:val="24"/>
              </w:rPr>
            </w:pPr>
          </w:p>
        </w:tc>
        <w:tc>
          <w:tcPr>
            <w:tcW w:w="1701" w:type="dxa"/>
            <w:vAlign w:val="center"/>
          </w:tcPr>
          <w:p w14:paraId="6C425F89">
            <w:pPr>
              <w:pStyle w:val="32"/>
              <w:spacing w:beforeLines="0" w:line="360" w:lineRule="auto"/>
              <w:rPr>
                <w:rFonts w:hint="default" w:ascii="宋体" w:hAnsi="宋体" w:cs="仿宋"/>
                <w:b w:val="0"/>
                <w:sz w:val="24"/>
                <w:szCs w:val="24"/>
              </w:rPr>
            </w:pPr>
          </w:p>
        </w:tc>
      </w:tr>
      <w:tr w14:paraId="213A0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831" w:type="dxa"/>
            <w:vAlign w:val="center"/>
          </w:tcPr>
          <w:p w14:paraId="78FB24F5">
            <w:pPr>
              <w:spacing w:line="360" w:lineRule="auto"/>
              <w:jc w:val="center"/>
              <w:rPr>
                <w:rFonts w:ascii="宋体" w:hAnsi="宋体" w:cs="仿宋"/>
                <w:sz w:val="24"/>
              </w:rPr>
            </w:pPr>
            <w:r>
              <w:rPr>
                <w:rFonts w:hint="eastAsia" w:ascii="宋体" w:hAnsi="宋体" w:cs="仿宋"/>
                <w:sz w:val="24"/>
              </w:rPr>
              <w:t>3</w:t>
            </w:r>
          </w:p>
        </w:tc>
        <w:tc>
          <w:tcPr>
            <w:tcW w:w="2036" w:type="dxa"/>
            <w:vAlign w:val="center"/>
          </w:tcPr>
          <w:p w14:paraId="6320C08C">
            <w:pPr>
              <w:pStyle w:val="32"/>
              <w:spacing w:beforeLines="0" w:line="360" w:lineRule="auto"/>
              <w:rPr>
                <w:rFonts w:hint="default" w:ascii="宋体" w:hAnsi="宋体" w:cs="仿宋"/>
                <w:b w:val="0"/>
                <w:sz w:val="24"/>
                <w:szCs w:val="24"/>
              </w:rPr>
            </w:pPr>
          </w:p>
        </w:tc>
        <w:tc>
          <w:tcPr>
            <w:tcW w:w="3053" w:type="dxa"/>
            <w:vAlign w:val="center"/>
          </w:tcPr>
          <w:p w14:paraId="5A9C08E9">
            <w:pPr>
              <w:pStyle w:val="32"/>
              <w:spacing w:beforeLines="0" w:line="360" w:lineRule="auto"/>
              <w:rPr>
                <w:rFonts w:hint="default" w:ascii="宋体" w:hAnsi="宋体" w:cs="仿宋"/>
                <w:b w:val="0"/>
                <w:sz w:val="24"/>
                <w:szCs w:val="24"/>
              </w:rPr>
            </w:pPr>
          </w:p>
        </w:tc>
        <w:tc>
          <w:tcPr>
            <w:tcW w:w="1276" w:type="dxa"/>
            <w:vAlign w:val="center"/>
          </w:tcPr>
          <w:p w14:paraId="139C1E37">
            <w:pPr>
              <w:pStyle w:val="32"/>
              <w:spacing w:beforeLines="0" w:line="360" w:lineRule="auto"/>
              <w:rPr>
                <w:rFonts w:hint="default" w:ascii="宋体" w:hAnsi="宋体" w:cs="仿宋"/>
                <w:b w:val="0"/>
                <w:sz w:val="24"/>
                <w:szCs w:val="24"/>
              </w:rPr>
            </w:pPr>
          </w:p>
        </w:tc>
        <w:tc>
          <w:tcPr>
            <w:tcW w:w="1701" w:type="dxa"/>
            <w:vAlign w:val="center"/>
          </w:tcPr>
          <w:p w14:paraId="7A6BFA42">
            <w:pPr>
              <w:pStyle w:val="32"/>
              <w:spacing w:beforeLines="0" w:line="360" w:lineRule="auto"/>
              <w:rPr>
                <w:rFonts w:hint="default" w:ascii="宋体" w:hAnsi="宋体" w:cs="仿宋"/>
                <w:b w:val="0"/>
                <w:sz w:val="24"/>
                <w:szCs w:val="24"/>
              </w:rPr>
            </w:pPr>
          </w:p>
        </w:tc>
      </w:tr>
      <w:tr w14:paraId="67384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831" w:type="dxa"/>
            <w:vAlign w:val="center"/>
          </w:tcPr>
          <w:p w14:paraId="42DE0927">
            <w:pPr>
              <w:spacing w:line="360" w:lineRule="auto"/>
              <w:jc w:val="center"/>
              <w:rPr>
                <w:rFonts w:ascii="宋体" w:hAnsi="宋体" w:cs="仿宋"/>
                <w:sz w:val="24"/>
              </w:rPr>
            </w:pPr>
            <w:r>
              <w:rPr>
                <w:rFonts w:hint="eastAsia" w:ascii="宋体" w:hAnsi="宋体" w:cs="仿宋"/>
                <w:sz w:val="24"/>
              </w:rPr>
              <w:t>……</w:t>
            </w:r>
          </w:p>
        </w:tc>
        <w:tc>
          <w:tcPr>
            <w:tcW w:w="2036" w:type="dxa"/>
            <w:vAlign w:val="center"/>
          </w:tcPr>
          <w:p w14:paraId="6CBE4887">
            <w:pPr>
              <w:pStyle w:val="32"/>
              <w:spacing w:beforeLines="0" w:line="360" w:lineRule="auto"/>
              <w:rPr>
                <w:rFonts w:hint="default" w:ascii="宋体" w:hAnsi="宋体" w:cs="仿宋"/>
                <w:b w:val="0"/>
                <w:sz w:val="24"/>
                <w:szCs w:val="24"/>
              </w:rPr>
            </w:pPr>
          </w:p>
        </w:tc>
        <w:tc>
          <w:tcPr>
            <w:tcW w:w="3053" w:type="dxa"/>
            <w:vAlign w:val="center"/>
          </w:tcPr>
          <w:p w14:paraId="290BAD8C">
            <w:pPr>
              <w:pStyle w:val="32"/>
              <w:spacing w:beforeLines="0" w:line="360" w:lineRule="auto"/>
              <w:rPr>
                <w:rFonts w:hint="default" w:ascii="宋体" w:hAnsi="宋体" w:cs="仿宋"/>
                <w:b w:val="0"/>
                <w:sz w:val="24"/>
                <w:szCs w:val="24"/>
              </w:rPr>
            </w:pPr>
          </w:p>
        </w:tc>
        <w:tc>
          <w:tcPr>
            <w:tcW w:w="1276" w:type="dxa"/>
            <w:vAlign w:val="center"/>
          </w:tcPr>
          <w:p w14:paraId="340C7917">
            <w:pPr>
              <w:pStyle w:val="32"/>
              <w:spacing w:beforeLines="0" w:line="360" w:lineRule="auto"/>
              <w:rPr>
                <w:rFonts w:hint="default" w:ascii="宋体" w:hAnsi="宋体" w:cs="仿宋"/>
                <w:b w:val="0"/>
                <w:sz w:val="24"/>
                <w:szCs w:val="24"/>
              </w:rPr>
            </w:pPr>
          </w:p>
        </w:tc>
        <w:tc>
          <w:tcPr>
            <w:tcW w:w="1701" w:type="dxa"/>
            <w:vAlign w:val="center"/>
          </w:tcPr>
          <w:p w14:paraId="68C0CE55">
            <w:pPr>
              <w:pStyle w:val="32"/>
              <w:spacing w:beforeLines="0" w:line="360" w:lineRule="auto"/>
              <w:rPr>
                <w:rFonts w:hint="default" w:ascii="宋体" w:hAnsi="宋体" w:cs="仿宋"/>
                <w:b w:val="0"/>
                <w:sz w:val="24"/>
                <w:szCs w:val="24"/>
              </w:rPr>
            </w:pPr>
          </w:p>
        </w:tc>
      </w:tr>
    </w:tbl>
    <w:p w14:paraId="321FD1D6">
      <w:pPr>
        <w:topLinePunct/>
        <w:spacing w:line="360" w:lineRule="auto"/>
        <w:ind w:firstLine="420" w:firstLineChars="200"/>
        <w:rPr>
          <w:rFonts w:ascii="宋体" w:hAnsi="宋体" w:cs="仿宋"/>
        </w:rPr>
      </w:pPr>
    </w:p>
    <w:p w14:paraId="0B2055BF">
      <w:pPr>
        <w:topLinePunct/>
        <w:spacing w:line="360" w:lineRule="auto"/>
        <w:ind w:firstLine="420" w:firstLineChars="200"/>
        <w:rPr>
          <w:rFonts w:ascii="宋体" w:hAnsi="宋体" w:eastAsia="宋体" w:cs="仿宋"/>
        </w:rPr>
      </w:pPr>
      <w:r>
        <w:rPr>
          <w:rFonts w:hint="eastAsia" w:ascii="宋体" w:hAnsi="宋体" w:cs="仿宋"/>
        </w:rPr>
        <w:t>注：</w:t>
      </w:r>
      <w:r>
        <w:rPr>
          <w:rFonts w:hint="eastAsia" w:cs="仿宋"/>
        </w:rPr>
        <w:t>提供的业绩要附合同扫描件作为证明。</w:t>
      </w:r>
    </w:p>
    <w:p w14:paraId="031D40C4">
      <w:pPr>
        <w:spacing w:line="360" w:lineRule="auto"/>
        <w:rPr>
          <w:rFonts w:ascii="宋体" w:hAnsi="宋体" w:cs="仿宋"/>
        </w:rPr>
      </w:pPr>
    </w:p>
    <w:p w14:paraId="50B2A404">
      <w:pPr>
        <w:spacing w:line="360" w:lineRule="auto"/>
        <w:ind w:firstLine="4200" w:firstLineChars="1750"/>
        <w:rPr>
          <w:rFonts w:ascii="宋体" w:hAnsi="宋体" w:cs="仿宋"/>
          <w:sz w:val="24"/>
        </w:rPr>
      </w:pPr>
      <w:r>
        <w:rPr>
          <w:rFonts w:hint="eastAsia" w:cs="仿宋"/>
          <w:sz w:val="24"/>
        </w:rPr>
        <w:t>投标人</w:t>
      </w:r>
      <w:r>
        <w:rPr>
          <w:rFonts w:hint="eastAsia" w:ascii="宋体" w:hAnsi="宋体" w:cs="仿宋"/>
          <w:sz w:val="24"/>
        </w:rPr>
        <w:t>：（盖单位章）</w:t>
      </w:r>
    </w:p>
    <w:p w14:paraId="4526614C">
      <w:pPr>
        <w:spacing w:line="360" w:lineRule="auto"/>
        <w:ind w:firstLine="4200" w:firstLineChars="1750"/>
        <w:rPr>
          <w:rFonts w:ascii="宋体" w:hAnsi="宋体" w:cs="仿宋"/>
          <w:sz w:val="24"/>
        </w:rPr>
      </w:pPr>
      <w:r>
        <w:rPr>
          <w:rFonts w:hint="eastAsia" w:ascii="宋体" w:hAnsi="宋体" w:cs="仿宋"/>
          <w:sz w:val="24"/>
        </w:rPr>
        <w:t>法定代表人或其委托代理人：（签字）</w:t>
      </w:r>
    </w:p>
    <w:p w14:paraId="7210ECC5">
      <w:pPr>
        <w:spacing w:line="360" w:lineRule="auto"/>
        <w:ind w:firstLine="6600" w:firstLineChars="2750"/>
        <w:rPr>
          <w:rFonts w:ascii="宋体" w:hAnsi="宋体" w:cs="仿宋"/>
          <w:sz w:val="24"/>
        </w:rPr>
      </w:pPr>
      <w:r>
        <w:rPr>
          <w:rFonts w:hint="eastAsia" w:ascii="宋体" w:hAnsi="宋体" w:cs="仿宋"/>
          <w:sz w:val="24"/>
        </w:rPr>
        <w:t>年  月  日</w:t>
      </w:r>
    </w:p>
    <w:p w14:paraId="285FED8F">
      <w:pPr>
        <w:rPr>
          <w:rFonts w:ascii="宋体" w:hAnsi="宋体" w:cs="仿宋"/>
          <w:sz w:val="24"/>
        </w:rPr>
      </w:pPr>
      <w:r>
        <w:rPr>
          <w:rFonts w:hint="eastAsia" w:ascii="宋体" w:hAnsi="宋体" w:cs="仿宋"/>
          <w:sz w:val="24"/>
        </w:rPr>
        <w:br w:type="page"/>
      </w:r>
    </w:p>
    <w:p w14:paraId="500B4462">
      <w:pPr>
        <w:spacing w:line="360" w:lineRule="auto"/>
        <w:ind w:firstLine="6600" w:firstLineChars="2750"/>
        <w:rPr>
          <w:rFonts w:ascii="宋体" w:hAnsi="宋体" w:cs="仿宋"/>
          <w:sz w:val="24"/>
        </w:rPr>
      </w:pPr>
    </w:p>
    <w:p w14:paraId="51402717">
      <w:pPr>
        <w:spacing w:line="360" w:lineRule="auto"/>
        <w:jc w:val="center"/>
        <w:rPr>
          <w:rFonts w:ascii="宋体" w:hAnsi="宋体" w:cs="仿宋"/>
          <w:sz w:val="28"/>
          <w:szCs w:val="28"/>
        </w:rPr>
      </w:pPr>
      <w:r>
        <w:rPr>
          <w:rFonts w:hint="eastAsia" w:ascii="宋体" w:hAnsi="宋体" w:eastAsia="宋体" w:cs="宋体"/>
          <w:sz w:val="28"/>
          <w:szCs w:val="28"/>
          <w:shd w:val="clear" w:color="auto" w:fill="FFFFFF"/>
        </w:rPr>
        <w:t>4.3</w:t>
      </w:r>
      <w:r>
        <w:rPr>
          <w:rFonts w:hint="eastAsia" w:ascii="微软雅黑" w:hAnsi="微软雅黑" w:eastAsia="微软雅黑" w:cs="微软雅黑"/>
          <w:sz w:val="28"/>
          <w:szCs w:val="28"/>
          <w:shd w:val="clear" w:color="auto" w:fill="FFFFFF"/>
        </w:rPr>
        <w:t xml:space="preserve"> </w:t>
      </w:r>
      <w:r>
        <w:rPr>
          <w:rFonts w:hint="eastAsia" w:ascii="宋体" w:hAnsi="宋体" w:cs="仿宋"/>
          <w:sz w:val="28"/>
          <w:szCs w:val="28"/>
        </w:rPr>
        <w:t>报价说明</w:t>
      </w:r>
    </w:p>
    <w:p w14:paraId="1F366AE8">
      <w:pPr>
        <w:tabs>
          <w:tab w:val="left" w:pos="945"/>
        </w:tabs>
        <w:spacing w:line="360" w:lineRule="auto"/>
        <w:ind w:firstLine="480" w:firstLineChars="200"/>
        <w:rPr>
          <w:rFonts w:ascii="宋体" w:hAnsi="宋体" w:cs="仿宋"/>
          <w:sz w:val="24"/>
        </w:rPr>
      </w:pPr>
      <w:r>
        <w:rPr>
          <w:rFonts w:hint="eastAsia" w:cs="仿宋"/>
          <w:sz w:val="24"/>
        </w:rPr>
        <w:t>（1）</w:t>
      </w:r>
      <w:r>
        <w:rPr>
          <w:rFonts w:hint="eastAsia" w:ascii="宋体" w:hAnsi="宋体" w:cs="仿宋"/>
          <w:sz w:val="24"/>
        </w:rPr>
        <w:t>报价表应按本</w:t>
      </w:r>
      <w:r>
        <w:rPr>
          <w:rFonts w:hint="eastAsia" w:cs="仿宋"/>
          <w:sz w:val="24"/>
        </w:rPr>
        <w:t>招标</w:t>
      </w:r>
      <w:r>
        <w:rPr>
          <w:rFonts w:hint="eastAsia" w:ascii="宋体" w:hAnsi="宋体" w:cs="仿宋"/>
          <w:sz w:val="24"/>
        </w:rPr>
        <w:t>文件规定的格式填写。</w:t>
      </w:r>
    </w:p>
    <w:p w14:paraId="2710F50A">
      <w:pPr>
        <w:tabs>
          <w:tab w:val="left" w:pos="945"/>
        </w:tabs>
        <w:spacing w:line="360" w:lineRule="auto"/>
        <w:ind w:firstLine="480" w:firstLineChars="200"/>
        <w:rPr>
          <w:rFonts w:ascii="宋体" w:hAnsi="宋体" w:cs="仿宋"/>
          <w:sz w:val="24"/>
        </w:rPr>
      </w:pPr>
      <w:r>
        <w:rPr>
          <w:rFonts w:hint="eastAsia" w:cs="仿宋"/>
          <w:sz w:val="24"/>
        </w:rPr>
        <w:t>（2）</w:t>
      </w:r>
      <w:r>
        <w:rPr>
          <w:rFonts w:hint="eastAsia" w:ascii="宋体" w:hAnsi="宋体" w:cs="仿宋"/>
          <w:sz w:val="24"/>
        </w:rPr>
        <w:t>报价币种为人民币。</w:t>
      </w:r>
    </w:p>
    <w:p w14:paraId="6C95077A">
      <w:pPr>
        <w:tabs>
          <w:tab w:val="left" w:pos="945"/>
        </w:tabs>
        <w:spacing w:line="360" w:lineRule="auto"/>
        <w:ind w:firstLine="480" w:firstLineChars="200"/>
        <w:rPr>
          <w:rFonts w:ascii="宋体" w:hAnsi="宋体" w:cs="仿宋"/>
          <w:sz w:val="24"/>
        </w:rPr>
      </w:pPr>
      <w:r>
        <w:rPr>
          <w:rFonts w:hint="eastAsia" w:cs="仿宋"/>
          <w:sz w:val="24"/>
        </w:rPr>
        <w:t>（3）</w:t>
      </w:r>
      <w:r>
        <w:rPr>
          <w:rFonts w:hint="eastAsia" w:ascii="宋体" w:hAnsi="宋体" w:cs="仿宋"/>
          <w:sz w:val="24"/>
        </w:rPr>
        <w:t>如果按单价计算的结果与总价不一致，以单价为准修正总价。</w:t>
      </w:r>
    </w:p>
    <w:p w14:paraId="2FA35B09">
      <w:pPr>
        <w:tabs>
          <w:tab w:val="left" w:pos="945"/>
        </w:tabs>
        <w:spacing w:line="360" w:lineRule="auto"/>
        <w:ind w:firstLine="480" w:firstLineChars="200"/>
        <w:rPr>
          <w:rFonts w:ascii="宋体" w:hAnsi="宋体" w:cs="仿宋"/>
          <w:sz w:val="24"/>
        </w:rPr>
      </w:pPr>
      <w:r>
        <w:rPr>
          <w:rFonts w:hint="eastAsia" w:cs="仿宋"/>
          <w:sz w:val="24"/>
        </w:rPr>
        <w:t>（4）</w:t>
      </w:r>
      <w:r>
        <w:rPr>
          <w:rFonts w:hint="eastAsia" w:ascii="宋体" w:hAnsi="宋体" w:cs="仿宋"/>
          <w:sz w:val="24"/>
        </w:rPr>
        <w:t>报价清单中有计算或汇总中的算术错误时，将按</w:t>
      </w:r>
      <w:r>
        <w:rPr>
          <w:rFonts w:hint="eastAsia" w:cs="仿宋"/>
          <w:sz w:val="24"/>
        </w:rPr>
        <w:t>招标</w:t>
      </w:r>
      <w:r>
        <w:rPr>
          <w:rFonts w:hint="eastAsia" w:ascii="宋体" w:hAnsi="宋体" w:cs="仿宋"/>
          <w:sz w:val="24"/>
        </w:rPr>
        <w:t>须知中有关规定执行。</w:t>
      </w:r>
    </w:p>
    <w:p w14:paraId="3337CFA7">
      <w:pPr>
        <w:tabs>
          <w:tab w:val="left" w:pos="945"/>
        </w:tabs>
        <w:spacing w:line="360" w:lineRule="auto"/>
        <w:ind w:firstLine="480" w:firstLineChars="200"/>
        <w:rPr>
          <w:rFonts w:ascii="宋体" w:hAnsi="宋体" w:cs="仿宋"/>
          <w:sz w:val="24"/>
        </w:rPr>
      </w:pPr>
      <w:r>
        <w:rPr>
          <w:rFonts w:hint="eastAsia" w:cs="仿宋"/>
          <w:sz w:val="24"/>
        </w:rPr>
        <w:t>（5）</w:t>
      </w:r>
      <w:r>
        <w:rPr>
          <w:rFonts w:hint="eastAsia" w:ascii="宋体" w:hAnsi="宋体" w:cs="仿宋"/>
          <w:sz w:val="24"/>
        </w:rPr>
        <w:t>报价中包含货物从工厂运至规定的交货地点的运输费、装卸费、保险费、</w:t>
      </w:r>
      <w:r>
        <w:rPr>
          <w:rFonts w:hint="eastAsia" w:ascii="宋体" w:hAnsi="宋体" w:cs="仿宋"/>
          <w:kern w:val="0"/>
          <w:sz w:val="24"/>
          <w:szCs w:val="20"/>
        </w:rPr>
        <w:t>服务费</w:t>
      </w:r>
      <w:r>
        <w:rPr>
          <w:rFonts w:hint="eastAsia" w:ascii="宋体" w:hAnsi="宋体" w:cs="仿宋"/>
          <w:sz w:val="24"/>
        </w:rPr>
        <w:t>等所有费用。</w:t>
      </w:r>
    </w:p>
    <w:p w14:paraId="118E4DE0">
      <w:pPr>
        <w:tabs>
          <w:tab w:val="left" w:pos="945"/>
        </w:tabs>
        <w:spacing w:line="360" w:lineRule="auto"/>
        <w:ind w:firstLine="480" w:firstLineChars="200"/>
        <w:rPr>
          <w:rFonts w:ascii="宋体" w:hAnsi="宋体" w:cs="仿宋"/>
          <w:sz w:val="24"/>
        </w:rPr>
      </w:pPr>
      <w:r>
        <w:rPr>
          <w:rFonts w:hint="eastAsia" w:cs="仿宋"/>
          <w:sz w:val="24"/>
        </w:rPr>
        <w:t>（6）</w:t>
      </w:r>
      <w:r>
        <w:rPr>
          <w:rFonts w:hint="eastAsia" w:ascii="宋体" w:hAnsi="宋体" w:cs="仿宋"/>
          <w:sz w:val="24"/>
        </w:rPr>
        <w:t>本项目为固定总价项目，合同价格包括完成项目所需的各种费用，且在合同执行过程中不作任何调整。</w:t>
      </w:r>
    </w:p>
    <w:p w14:paraId="182EFD6B">
      <w:pPr>
        <w:tabs>
          <w:tab w:val="left" w:pos="945"/>
        </w:tabs>
        <w:spacing w:line="360" w:lineRule="auto"/>
        <w:ind w:firstLine="480" w:firstLineChars="200"/>
        <w:rPr>
          <w:rFonts w:ascii="宋体" w:hAnsi="宋体" w:cs="仿宋"/>
          <w:sz w:val="24"/>
        </w:rPr>
      </w:pPr>
      <w:r>
        <w:rPr>
          <w:rFonts w:hint="eastAsia" w:cs="仿宋"/>
          <w:sz w:val="24"/>
        </w:rPr>
        <w:t>（7）</w:t>
      </w:r>
      <w:r>
        <w:rPr>
          <w:rFonts w:hint="eastAsia" w:ascii="宋体" w:hAnsi="宋体" w:cs="仿宋"/>
          <w:sz w:val="24"/>
        </w:rPr>
        <w:t>若</w:t>
      </w:r>
      <w:r>
        <w:rPr>
          <w:rFonts w:hint="eastAsia" w:cs="仿宋"/>
          <w:sz w:val="24"/>
        </w:rPr>
        <w:t>投标人</w:t>
      </w:r>
      <w:r>
        <w:rPr>
          <w:rFonts w:hint="eastAsia" w:ascii="宋体" w:hAnsi="宋体" w:cs="仿宋"/>
          <w:sz w:val="24"/>
        </w:rPr>
        <w:t>对某些项目未报价，则应认为已包括在总报价内。</w:t>
      </w:r>
    </w:p>
    <w:p w14:paraId="63C299A6">
      <w:pPr>
        <w:spacing w:after="31" w:afterLines="10"/>
        <w:ind w:firstLine="482" w:firstLineChars="200"/>
        <w:jc w:val="center"/>
        <w:rPr>
          <w:rFonts w:ascii="宋体" w:hAnsi="宋体" w:cs="仿宋"/>
          <w:b/>
          <w:bCs/>
          <w:sz w:val="32"/>
          <w:szCs w:val="32"/>
        </w:rPr>
      </w:pPr>
      <w:r>
        <w:rPr>
          <w:rFonts w:ascii="宋体" w:hAnsi="宋体" w:cs="仿宋"/>
          <w:b/>
          <w:kern w:val="0"/>
          <w:sz w:val="24"/>
        </w:rPr>
        <w:br w:type="page"/>
      </w:r>
      <w:r>
        <w:rPr>
          <w:rFonts w:hint="eastAsia" w:cs="仿宋"/>
          <w:b/>
          <w:bCs/>
          <w:sz w:val="32"/>
          <w:szCs w:val="32"/>
        </w:rPr>
        <w:t>5.</w:t>
      </w:r>
      <w:r>
        <w:rPr>
          <w:rFonts w:hint="eastAsia" w:ascii="宋体" w:hAnsi="宋体" w:cs="仿宋"/>
          <w:b/>
          <w:bCs/>
          <w:sz w:val="32"/>
          <w:szCs w:val="32"/>
        </w:rPr>
        <w:t>报价表</w:t>
      </w:r>
    </w:p>
    <w:tbl>
      <w:tblPr>
        <w:tblStyle w:val="18"/>
        <w:tblpPr w:leftFromText="180" w:rightFromText="180" w:vertAnchor="text" w:horzAnchor="page" w:tblpX="1492" w:tblpY="530"/>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3668"/>
        <w:gridCol w:w="656"/>
        <w:gridCol w:w="651"/>
        <w:gridCol w:w="756"/>
        <w:gridCol w:w="929"/>
        <w:gridCol w:w="1535"/>
      </w:tblGrid>
      <w:tr w14:paraId="7074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blHeader/>
        </w:trPr>
        <w:tc>
          <w:tcPr>
            <w:tcW w:w="243" w:type="pct"/>
            <w:vAlign w:val="center"/>
          </w:tcPr>
          <w:p w14:paraId="1652A61A">
            <w:pPr>
              <w:jc w:val="left"/>
              <w:rPr>
                <w:rFonts w:ascii="黑体" w:hAnsi="黑体" w:eastAsia="黑体" w:cs="黑体"/>
                <w:sz w:val="18"/>
                <w:szCs w:val="18"/>
              </w:rPr>
            </w:pPr>
            <w:r>
              <w:rPr>
                <w:rFonts w:hint="eastAsia" w:ascii="黑体" w:hAnsi="黑体" w:eastAsia="黑体" w:cs="黑体"/>
                <w:sz w:val="18"/>
                <w:szCs w:val="18"/>
              </w:rPr>
              <w:t>序号</w:t>
            </w:r>
          </w:p>
        </w:tc>
        <w:tc>
          <w:tcPr>
            <w:tcW w:w="2138" w:type="pct"/>
            <w:vAlign w:val="center"/>
          </w:tcPr>
          <w:p w14:paraId="39D09973">
            <w:pPr>
              <w:tabs>
                <w:tab w:val="left" w:pos="522"/>
              </w:tabs>
              <w:jc w:val="center"/>
              <w:rPr>
                <w:rFonts w:ascii="黑体" w:hAnsi="黑体" w:eastAsia="黑体" w:cs="黑体"/>
                <w:sz w:val="18"/>
                <w:szCs w:val="18"/>
              </w:rPr>
            </w:pPr>
            <w:r>
              <w:rPr>
                <w:rFonts w:hint="eastAsia" w:ascii="黑体" w:hAnsi="黑体" w:eastAsia="黑体" w:cs="黑体"/>
                <w:sz w:val="18"/>
                <w:szCs w:val="18"/>
              </w:rPr>
              <w:t>名称</w:t>
            </w:r>
          </w:p>
        </w:tc>
        <w:tc>
          <w:tcPr>
            <w:tcW w:w="388" w:type="pct"/>
            <w:vAlign w:val="center"/>
          </w:tcPr>
          <w:p w14:paraId="6BA6EC3D">
            <w:pPr>
              <w:jc w:val="left"/>
              <w:rPr>
                <w:rFonts w:ascii="黑体" w:hAnsi="黑体" w:eastAsia="黑体" w:cs="黑体"/>
                <w:sz w:val="18"/>
                <w:szCs w:val="18"/>
              </w:rPr>
            </w:pPr>
            <w:r>
              <w:rPr>
                <w:rFonts w:hint="eastAsia" w:ascii="黑体" w:hAnsi="黑体" w:eastAsia="黑体" w:cs="黑体"/>
                <w:sz w:val="18"/>
                <w:szCs w:val="18"/>
              </w:rPr>
              <w:t>单位</w:t>
            </w:r>
          </w:p>
        </w:tc>
        <w:tc>
          <w:tcPr>
            <w:tcW w:w="385" w:type="pct"/>
            <w:vAlign w:val="center"/>
          </w:tcPr>
          <w:p w14:paraId="687108B1">
            <w:pPr>
              <w:tabs>
                <w:tab w:val="left" w:pos="522"/>
              </w:tabs>
              <w:jc w:val="left"/>
              <w:rPr>
                <w:rFonts w:ascii="黑体" w:hAnsi="黑体" w:eastAsia="黑体" w:cs="黑体"/>
                <w:sz w:val="18"/>
                <w:szCs w:val="18"/>
              </w:rPr>
            </w:pPr>
            <w:r>
              <w:rPr>
                <w:rFonts w:hint="eastAsia" w:ascii="黑体" w:hAnsi="黑体" w:eastAsia="黑体" w:cs="黑体"/>
                <w:sz w:val="18"/>
                <w:szCs w:val="18"/>
              </w:rPr>
              <w:t>暂定数量</w:t>
            </w:r>
          </w:p>
        </w:tc>
        <w:tc>
          <w:tcPr>
            <w:tcW w:w="398" w:type="pct"/>
            <w:vAlign w:val="center"/>
          </w:tcPr>
          <w:p w14:paraId="4B4EEDDD">
            <w:pPr>
              <w:tabs>
                <w:tab w:val="left" w:pos="522"/>
              </w:tabs>
              <w:jc w:val="left"/>
              <w:rPr>
                <w:rFonts w:ascii="黑体" w:hAnsi="黑体" w:eastAsia="黑体" w:cs="黑体"/>
                <w:sz w:val="18"/>
                <w:szCs w:val="18"/>
              </w:rPr>
            </w:pPr>
            <w:r>
              <w:rPr>
                <w:rFonts w:hint="eastAsia" w:ascii="黑体" w:hAnsi="黑体" w:eastAsia="黑体" w:cs="黑体"/>
                <w:sz w:val="18"/>
                <w:szCs w:val="18"/>
              </w:rPr>
              <w:t>含税综合单价（元）</w:t>
            </w:r>
          </w:p>
        </w:tc>
        <w:tc>
          <w:tcPr>
            <w:tcW w:w="547" w:type="pct"/>
            <w:vAlign w:val="center"/>
          </w:tcPr>
          <w:p w14:paraId="39B5EC26">
            <w:pPr>
              <w:tabs>
                <w:tab w:val="left" w:pos="522"/>
              </w:tabs>
              <w:jc w:val="center"/>
              <w:rPr>
                <w:rFonts w:ascii="黑体" w:hAnsi="黑体" w:eastAsia="黑体" w:cs="黑体"/>
                <w:sz w:val="18"/>
                <w:szCs w:val="18"/>
              </w:rPr>
            </w:pPr>
            <w:r>
              <w:rPr>
                <w:rFonts w:hint="eastAsia" w:ascii="黑体" w:hAnsi="黑体" w:eastAsia="黑体" w:cs="黑体"/>
                <w:sz w:val="18"/>
                <w:szCs w:val="18"/>
              </w:rPr>
              <w:t>总价</w:t>
            </w:r>
          </w:p>
        </w:tc>
        <w:tc>
          <w:tcPr>
            <w:tcW w:w="898" w:type="pct"/>
            <w:vAlign w:val="center"/>
          </w:tcPr>
          <w:p w14:paraId="7C158E5E">
            <w:pPr>
              <w:jc w:val="left"/>
              <w:rPr>
                <w:rFonts w:ascii="黑体" w:hAnsi="黑体" w:eastAsia="黑体" w:cs="黑体"/>
                <w:sz w:val="18"/>
                <w:szCs w:val="18"/>
              </w:rPr>
            </w:pPr>
            <w:r>
              <w:rPr>
                <w:rFonts w:hint="eastAsia" w:ascii="黑体" w:hAnsi="黑体" w:eastAsia="黑体" w:cs="黑体"/>
                <w:sz w:val="18"/>
                <w:szCs w:val="18"/>
              </w:rPr>
              <w:t>备注</w:t>
            </w:r>
          </w:p>
        </w:tc>
      </w:tr>
      <w:tr w14:paraId="60C0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7DC4B20F">
            <w:pPr>
              <w:jc w:val="left"/>
              <w:rPr>
                <w:rFonts w:ascii="黑体" w:hAnsi="黑体" w:eastAsia="黑体" w:cs="黑体"/>
                <w:sz w:val="18"/>
                <w:szCs w:val="18"/>
              </w:rPr>
            </w:pPr>
            <w:r>
              <w:rPr>
                <w:rFonts w:hint="eastAsia" w:ascii="黑体" w:hAnsi="黑体" w:eastAsia="黑体" w:cs="黑体"/>
                <w:sz w:val="18"/>
                <w:szCs w:val="18"/>
              </w:rPr>
              <w:t>1</w:t>
            </w:r>
          </w:p>
        </w:tc>
        <w:tc>
          <w:tcPr>
            <w:tcW w:w="2138" w:type="pct"/>
            <w:vAlign w:val="center"/>
          </w:tcPr>
          <w:p w14:paraId="652064A9">
            <w:pPr>
              <w:jc w:val="left"/>
              <w:rPr>
                <w:rFonts w:ascii="黑体" w:hAnsi="黑体" w:eastAsia="黑体" w:cs="黑体"/>
                <w:sz w:val="18"/>
                <w:szCs w:val="18"/>
              </w:rPr>
            </w:pPr>
            <w:r>
              <w:rPr>
                <w:rFonts w:hint="eastAsia" w:ascii="黑体" w:hAnsi="黑体" w:eastAsia="黑体" w:cs="黑体"/>
                <w:sz w:val="18"/>
                <w:szCs w:val="18"/>
              </w:rPr>
              <w:t>透层乳化沥青、封层乳化沥青</w:t>
            </w:r>
          </w:p>
          <w:p w14:paraId="5A8142C8">
            <w:pPr>
              <w:jc w:val="left"/>
              <w:rPr>
                <w:rFonts w:ascii="黑体" w:hAnsi="黑体" w:eastAsia="黑体" w:cs="黑体"/>
                <w:sz w:val="18"/>
                <w:szCs w:val="18"/>
              </w:rPr>
            </w:pPr>
            <w:r>
              <w:rPr>
                <w:rFonts w:hint="eastAsia" w:ascii="黑体" w:hAnsi="黑体" w:eastAsia="黑体" w:cs="黑体"/>
                <w:sz w:val="18"/>
                <w:szCs w:val="18"/>
              </w:rPr>
              <w:t>1.型号：高渗透型乳化沥青</w:t>
            </w:r>
          </w:p>
          <w:p w14:paraId="6B6E5E6A">
            <w:pPr>
              <w:jc w:val="left"/>
              <w:rPr>
                <w:rFonts w:ascii="黑体" w:hAnsi="黑体" w:eastAsia="黑体" w:cs="黑体"/>
                <w:sz w:val="18"/>
                <w:szCs w:val="18"/>
              </w:rPr>
            </w:pPr>
            <w:r>
              <w:rPr>
                <w:rFonts w:hint="eastAsia" w:ascii="黑体" w:hAnsi="黑体" w:eastAsia="黑体" w:cs="黑体"/>
                <w:sz w:val="18"/>
                <w:szCs w:val="18"/>
              </w:rPr>
              <w:t>2.用量：高粘/高渗透型：0.8-1L/m²</w:t>
            </w:r>
          </w:p>
        </w:tc>
        <w:tc>
          <w:tcPr>
            <w:tcW w:w="388" w:type="pct"/>
            <w:vAlign w:val="center"/>
          </w:tcPr>
          <w:p w14:paraId="2DC61D64">
            <w:pPr>
              <w:jc w:val="left"/>
              <w:rPr>
                <w:rFonts w:ascii="黑体" w:hAnsi="黑体" w:eastAsia="黑体" w:cs="黑体"/>
                <w:sz w:val="18"/>
                <w:szCs w:val="18"/>
              </w:rPr>
            </w:pPr>
            <w:r>
              <w:rPr>
                <w:rFonts w:hint="eastAsia" w:ascii="黑体" w:hAnsi="黑体" w:eastAsia="黑体" w:cs="黑体"/>
                <w:sz w:val="18"/>
                <w:szCs w:val="18"/>
              </w:rPr>
              <w:t>㎡</w:t>
            </w:r>
          </w:p>
        </w:tc>
        <w:tc>
          <w:tcPr>
            <w:tcW w:w="385" w:type="pct"/>
            <w:vAlign w:val="center"/>
          </w:tcPr>
          <w:p w14:paraId="0AD72FE7">
            <w:pPr>
              <w:jc w:val="left"/>
              <w:rPr>
                <w:rFonts w:ascii="黑体" w:hAnsi="黑体" w:eastAsia="黑体" w:cs="黑体"/>
                <w:sz w:val="18"/>
                <w:szCs w:val="18"/>
              </w:rPr>
            </w:pPr>
            <w:r>
              <w:rPr>
                <w:rFonts w:hint="eastAsia" w:ascii="黑体" w:hAnsi="黑体" w:eastAsia="黑体" w:cs="黑体"/>
                <w:sz w:val="18"/>
                <w:szCs w:val="18"/>
              </w:rPr>
              <w:t>6200</w:t>
            </w:r>
          </w:p>
        </w:tc>
        <w:tc>
          <w:tcPr>
            <w:tcW w:w="398" w:type="pct"/>
            <w:vAlign w:val="center"/>
          </w:tcPr>
          <w:p w14:paraId="4C1D2291">
            <w:pPr>
              <w:jc w:val="left"/>
              <w:rPr>
                <w:rFonts w:ascii="黑体" w:hAnsi="黑体" w:eastAsia="黑体" w:cs="黑体"/>
                <w:sz w:val="18"/>
                <w:szCs w:val="18"/>
              </w:rPr>
            </w:pPr>
          </w:p>
        </w:tc>
        <w:tc>
          <w:tcPr>
            <w:tcW w:w="547" w:type="pct"/>
            <w:vAlign w:val="center"/>
          </w:tcPr>
          <w:p w14:paraId="5EF67218">
            <w:pPr>
              <w:jc w:val="left"/>
              <w:rPr>
                <w:rFonts w:ascii="黑体" w:hAnsi="黑体" w:eastAsia="黑体" w:cs="黑体"/>
                <w:sz w:val="18"/>
                <w:szCs w:val="18"/>
              </w:rPr>
            </w:pPr>
          </w:p>
        </w:tc>
        <w:tc>
          <w:tcPr>
            <w:tcW w:w="898" w:type="pct"/>
            <w:vAlign w:val="center"/>
          </w:tcPr>
          <w:p w14:paraId="5E132269">
            <w:pPr>
              <w:jc w:val="left"/>
              <w:rPr>
                <w:rFonts w:ascii="黑体" w:hAnsi="黑体" w:eastAsia="黑体" w:cs="黑体"/>
                <w:sz w:val="18"/>
                <w:szCs w:val="18"/>
              </w:rPr>
            </w:pPr>
            <w:r>
              <w:rPr>
                <w:rFonts w:hint="eastAsia" w:ascii="黑体" w:hAnsi="黑体" w:eastAsia="黑体" w:cs="黑体"/>
                <w:sz w:val="18"/>
                <w:szCs w:val="18"/>
              </w:rPr>
              <w:t>运输、措施费综合考虑</w:t>
            </w:r>
          </w:p>
        </w:tc>
      </w:tr>
      <w:tr w14:paraId="7C38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138F98FB">
            <w:pPr>
              <w:jc w:val="left"/>
              <w:rPr>
                <w:rFonts w:ascii="黑体" w:hAnsi="黑体" w:eastAsia="黑体" w:cs="黑体"/>
                <w:sz w:val="18"/>
                <w:szCs w:val="18"/>
              </w:rPr>
            </w:pPr>
            <w:r>
              <w:rPr>
                <w:rFonts w:hint="eastAsia" w:ascii="黑体" w:hAnsi="黑体" w:eastAsia="黑体" w:cs="黑体"/>
                <w:sz w:val="18"/>
                <w:szCs w:val="18"/>
              </w:rPr>
              <w:t>2</w:t>
            </w:r>
          </w:p>
        </w:tc>
        <w:tc>
          <w:tcPr>
            <w:tcW w:w="2138" w:type="pct"/>
            <w:vAlign w:val="center"/>
          </w:tcPr>
          <w:p w14:paraId="20A1877F">
            <w:pPr>
              <w:jc w:val="left"/>
              <w:rPr>
                <w:rFonts w:ascii="黑体" w:hAnsi="黑体" w:eastAsia="黑体" w:cs="黑体"/>
                <w:sz w:val="18"/>
                <w:szCs w:val="18"/>
              </w:rPr>
            </w:pPr>
            <w:r>
              <w:rPr>
                <w:rFonts w:hint="eastAsia" w:ascii="黑体" w:hAnsi="黑体" w:eastAsia="黑体" w:cs="黑体"/>
                <w:sz w:val="18"/>
                <w:szCs w:val="18"/>
              </w:rPr>
              <w:t>6cmSBS AC-20粗粒式沥青砼</w:t>
            </w:r>
          </w:p>
          <w:p w14:paraId="675E1878">
            <w:pPr>
              <w:jc w:val="left"/>
              <w:rPr>
                <w:rFonts w:ascii="黑体" w:hAnsi="黑体" w:eastAsia="黑体" w:cs="黑体"/>
                <w:sz w:val="18"/>
                <w:szCs w:val="18"/>
              </w:rPr>
            </w:pPr>
            <w:r>
              <w:rPr>
                <w:rFonts w:hint="eastAsia" w:ascii="黑体" w:hAnsi="黑体" w:eastAsia="黑体" w:cs="黑体"/>
                <w:sz w:val="18"/>
                <w:szCs w:val="18"/>
              </w:rPr>
              <w:t>1.材质：sbs改性沥青；AC-20中粒式沥青混凝土；</w:t>
            </w:r>
          </w:p>
          <w:p w14:paraId="015C1293">
            <w:pPr>
              <w:jc w:val="left"/>
              <w:rPr>
                <w:rFonts w:ascii="黑体" w:hAnsi="黑体" w:eastAsia="黑体" w:cs="黑体"/>
                <w:sz w:val="18"/>
                <w:szCs w:val="18"/>
              </w:rPr>
            </w:pPr>
            <w:r>
              <w:rPr>
                <w:rFonts w:hint="eastAsia" w:ascii="黑体" w:hAnsi="黑体" w:eastAsia="黑体" w:cs="黑体"/>
                <w:sz w:val="18"/>
                <w:szCs w:val="18"/>
              </w:rPr>
              <w:t>2.级配：AC-20型中粒式密级配沥青混凝土。其技术要求应严格控制在《公路沥青路面施工技术规范》（JTG F40）规定的AC-20范围内。</w:t>
            </w:r>
          </w:p>
        </w:tc>
        <w:tc>
          <w:tcPr>
            <w:tcW w:w="388" w:type="pct"/>
            <w:vAlign w:val="center"/>
          </w:tcPr>
          <w:p w14:paraId="59E67647">
            <w:pPr>
              <w:jc w:val="left"/>
              <w:rPr>
                <w:rFonts w:ascii="黑体" w:hAnsi="黑体" w:eastAsia="黑体" w:cs="黑体"/>
                <w:sz w:val="18"/>
                <w:szCs w:val="18"/>
              </w:rPr>
            </w:pPr>
            <w:r>
              <w:rPr>
                <w:rFonts w:hint="eastAsia" w:ascii="黑体" w:hAnsi="黑体" w:eastAsia="黑体" w:cs="黑体"/>
                <w:sz w:val="18"/>
                <w:szCs w:val="18"/>
              </w:rPr>
              <w:t>㎡</w:t>
            </w:r>
          </w:p>
        </w:tc>
        <w:tc>
          <w:tcPr>
            <w:tcW w:w="385" w:type="pct"/>
            <w:vAlign w:val="center"/>
          </w:tcPr>
          <w:p w14:paraId="6C00ACAA">
            <w:pPr>
              <w:jc w:val="left"/>
              <w:rPr>
                <w:rFonts w:ascii="黑体" w:hAnsi="黑体" w:eastAsia="黑体" w:cs="黑体"/>
                <w:sz w:val="18"/>
                <w:szCs w:val="18"/>
              </w:rPr>
            </w:pPr>
            <w:r>
              <w:rPr>
                <w:rFonts w:hint="eastAsia" w:ascii="黑体" w:hAnsi="黑体" w:eastAsia="黑体" w:cs="黑体"/>
                <w:sz w:val="18"/>
                <w:szCs w:val="18"/>
              </w:rPr>
              <w:t>6200</w:t>
            </w:r>
          </w:p>
        </w:tc>
        <w:tc>
          <w:tcPr>
            <w:tcW w:w="398" w:type="pct"/>
            <w:vAlign w:val="center"/>
          </w:tcPr>
          <w:p w14:paraId="7BCC746F">
            <w:pPr>
              <w:jc w:val="left"/>
              <w:rPr>
                <w:rFonts w:ascii="黑体" w:hAnsi="黑体" w:eastAsia="黑体" w:cs="黑体"/>
                <w:sz w:val="18"/>
                <w:szCs w:val="18"/>
              </w:rPr>
            </w:pPr>
          </w:p>
        </w:tc>
        <w:tc>
          <w:tcPr>
            <w:tcW w:w="547" w:type="pct"/>
            <w:vAlign w:val="center"/>
          </w:tcPr>
          <w:p w14:paraId="0EDC75A6">
            <w:pPr>
              <w:jc w:val="left"/>
              <w:rPr>
                <w:rFonts w:ascii="黑体" w:hAnsi="黑体" w:eastAsia="黑体" w:cs="黑体"/>
                <w:sz w:val="18"/>
                <w:szCs w:val="18"/>
              </w:rPr>
            </w:pPr>
          </w:p>
        </w:tc>
        <w:tc>
          <w:tcPr>
            <w:tcW w:w="898" w:type="pct"/>
            <w:vAlign w:val="center"/>
          </w:tcPr>
          <w:p w14:paraId="217E24B4">
            <w:pPr>
              <w:jc w:val="left"/>
              <w:rPr>
                <w:rFonts w:ascii="黑体" w:hAnsi="黑体" w:eastAsia="黑体" w:cs="黑体"/>
                <w:sz w:val="18"/>
                <w:szCs w:val="18"/>
              </w:rPr>
            </w:pPr>
            <w:r>
              <w:rPr>
                <w:rFonts w:hint="eastAsia" w:ascii="黑体" w:hAnsi="黑体" w:eastAsia="黑体" w:cs="黑体"/>
                <w:sz w:val="18"/>
                <w:szCs w:val="18"/>
              </w:rPr>
              <w:t>运输、措施费综合考虑</w:t>
            </w:r>
          </w:p>
        </w:tc>
      </w:tr>
      <w:tr w14:paraId="3371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62A99146">
            <w:pPr>
              <w:jc w:val="left"/>
              <w:rPr>
                <w:rFonts w:ascii="黑体" w:hAnsi="黑体" w:eastAsia="黑体" w:cs="黑体"/>
                <w:sz w:val="18"/>
                <w:szCs w:val="18"/>
              </w:rPr>
            </w:pPr>
            <w:r>
              <w:rPr>
                <w:rFonts w:hint="eastAsia" w:ascii="黑体" w:hAnsi="黑体" w:eastAsia="黑体" w:cs="黑体"/>
                <w:sz w:val="18"/>
                <w:szCs w:val="18"/>
              </w:rPr>
              <w:t>3</w:t>
            </w:r>
          </w:p>
        </w:tc>
        <w:tc>
          <w:tcPr>
            <w:tcW w:w="2138" w:type="pct"/>
            <w:vAlign w:val="center"/>
          </w:tcPr>
          <w:p w14:paraId="5D88CB47">
            <w:pPr>
              <w:jc w:val="left"/>
              <w:rPr>
                <w:rFonts w:ascii="黑体" w:hAnsi="黑体" w:eastAsia="黑体" w:cs="黑体"/>
                <w:sz w:val="18"/>
                <w:szCs w:val="18"/>
              </w:rPr>
            </w:pPr>
            <w:r>
              <w:rPr>
                <w:rFonts w:hint="eastAsia" w:ascii="黑体" w:hAnsi="黑体" w:eastAsia="黑体" w:cs="黑体"/>
                <w:sz w:val="18"/>
                <w:szCs w:val="18"/>
              </w:rPr>
              <w:t>喷洒粘层乳化沥青</w:t>
            </w:r>
          </w:p>
          <w:p w14:paraId="5E5F66D7">
            <w:pPr>
              <w:jc w:val="left"/>
              <w:rPr>
                <w:rFonts w:ascii="黑体" w:hAnsi="黑体" w:eastAsia="黑体" w:cs="黑体"/>
                <w:sz w:val="18"/>
                <w:szCs w:val="18"/>
              </w:rPr>
            </w:pPr>
            <w:r>
              <w:rPr>
                <w:rFonts w:hint="eastAsia" w:ascii="黑体" w:hAnsi="黑体" w:eastAsia="黑体" w:cs="黑体"/>
                <w:sz w:val="18"/>
                <w:szCs w:val="18"/>
              </w:rPr>
              <w:t>1. SBS改性乳化沥青</w:t>
            </w:r>
          </w:p>
          <w:p w14:paraId="4644613D">
            <w:pPr>
              <w:jc w:val="left"/>
              <w:rPr>
                <w:rFonts w:ascii="黑体" w:hAnsi="黑体" w:eastAsia="黑体" w:cs="黑体"/>
                <w:sz w:val="18"/>
                <w:szCs w:val="18"/>
              </w:rPr>
            </w:pPr>
            <w:r>
              <w:rPr>
                <w:rFonts w:hint="eastAsia" w:ascii="黑体" w:hAnsi="黑体" w:eastAsia="黑体" w:cs="黑体"/>
                <w:sz w:val="18"/>
                <w:szCs w:val="18"/>
              </w:rPr>
              <w:t>2. 用量：0.3-0.5 L/m²</w:t>
            </w:r>
          </w:p>
        </w:tc>
        <w:tc>
          <w:tcPr>
            <w:tcW w:w="388" w:type="pct"/>
            <w:vAlign w:val="center"/>
          </w:tcPr>
          <w:p w14:paraId="19C39DF5">
            <w:pPr>
              <w:jc w:val="left"/>
              <w:rPr>
                <w:rFonts w:ascii="黑体" w:hAnsi="黑体" w:eastAsia="黑体" w:cs="黑体"/>
                <w:sz w:val="18"/>
                <w:szCs w:val="18"/>
              </w:rPr>
            </w:pPr>
            <w:r>
              <w:rPr>
                <w:rFonts w:hint="eastAsia" w:ascii="黑体" w:hAnsi="黑体" w:eastAsia="黑体" w:cs="黑体"/>
                <w:sz w:val="18"/>
                <w:szCs w:val="18"/>
              </w:rPr>
              <w:t>㎡</w:t>
            </w:r>
          </w:p>
        </w:tc>
        <w:tc>
          <w:tcPr>
            <w:tcW w:w="385" w:type="pct"/>
            <w:vAlign w:val="center"/>
          </w:tcPr>
          <w:p w14:paraId="747DE8EF">
            <w:pPr>
              <w:jc w:val="left"/>
              <w:rPr>
                <w:rFonts w:ascii="黑体" w:hAnsi="黑体" w:eastAsia="黑体" w:cs="黑体"/>
                <w:sz w:val="18"/>
                <w:szCs w:val="18"/>
              </w:rPr>
            </w:pPr>
            <w:r>
              <w:rPr>
                <w:rFonts w:hint="eastAsia" w:ascii="黑体" w:hAnsi="黑体" w:eastAsia="黑体" w:cs="黑体"/>
                <w:sz w:val="18"/>
                <w:szCs w:val="18"/>
              </w:rPr>
              <w:t>6200</w:t>
            </w:r>
          </w:p>
        </w:tc>
        <w:tc>
          <w:tcPr>
            <w:tcW w:w="398" w:type="pct"/>
            <w:vAlign w:val="center"/>
          </w:tcPr>
          <w:p w14:paraId="2317815C">
            <w:pPr>
              <w:jc w:val="left"/>
              <w:rPr>
                <w:rFonts w:ascii="黑体" w:hAnsi="黑体" w:eastAsia="黑体" w:cs="黑体"/>
                <w:sz w:val="18"/>
                <w:szCs w:val="18"/>
              </w:rPr>
            </w:pPr>
          </w:p>
        </w:tc>
        <w:tc>
          <w:tcPr>
            <w:tcW w:w="547" w:type="pct"/>
            <w:vAlign w:val="center"/>
          </w:tcPr>
          <w:p w14:paraId="5CC49DBE">
            <w:pPr>
              <w:jc w:val="left"/>
              <w:rPr>
                <w:rFonts w:ascii="黑体" w:hAnsi="黑体" w:eastAsia="黑体" w:cs="黑体"/>
                <w:sz w:val="18"/>
                <w:szCs w:val="18"/>
              </w:rPr>
            </w:pPr>
          </w:p>
        </w:tc>
        <w:tc>
          <w:tcPr>
            <w:tcW w:w="898" w:type="pct"/>
            <w:vAlign w:val="center"/>
          </w:tcPr>
          <w:p w14:paraId="7EF4CD06">
            <w:pPr>
              <w:jc w:val="left"/>
              <w:rPr>
                <w:rFonts w:ascii="黑体" w:hAnsi="黑体" w:eastAsia="黑体" w:cs="黑体"/>
                <w:sz w:val="18"/>
                <w:szCs w:val="18"/>
              </w:rPr>
            </w:pPr>
            <w:r>
              <w:rPr>
                <w:rFonts w:hint="eastAsia" w:ascii="黑体" w:hAnsi="黑体" w:eastAsia="黑体" w:cs="黑体"/>
                <w:sz w:val="18"/>
                <w:szCs w:val="18"/>
              </w:rPr>
              <w:t>运输、措施费综合考虑</w:t>
            </w:r>
          </w:p>
        </w:tc>
      </w:tr>
      <w:tr w14:paraId="50EC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1CD16B71">
            <w:pPr>
              <w:jc w:val="left"/>
              <w:rPr>
                <w:rFonts w:ascii="黑体" w:hAnsi="黑体" w:eastAsia="黑体" w:cs="黑体"/>
                <w:sz w:val="18"/>
                <w:szCs w:val="18"/>
              </w:rPr>
            </w:pPr>
            <w:r>
              <w:rPr>
                <w:rFonts w:hint="eastAsia" w:ascii="黑体" w:hAnsi="黑体" w:eastAsia="黑体" w:cs="黑体"/>
                <w:sz w:val="18"/>
                <w:szCs w:val="18"/>
              </w:rPr>
              <w:t>4</w:t>
            </w:r>
          </w:p>
        </w:tc>
        <w:tc>
          <w:tcPr>
            <w:tcW w:w="2138" w:type="pct"/>
            <w:vAlign w:val="center"/>
          </w:tcPr>
          <w:p w14:paraId="64288C1B">
            <w:pPr>
              <w:jc w:val="left"/>
              <w:rPr>
                <w:rFonts w:ascii="黑体" w:hAnsi="黑体" w:eastAsia="黑体" w:cs="黑体"/>
                <w:sz w:val="18"/>
                <w:szCs w:val="18"/>
              </w:rPr>
            </w:pPr>
            <w:r>
              <w:rPr>
                <w:rFonts w:hint="eastAsia" w:ascii="黑体" w:hAnsi="黑体" w:eastAsia="黑体" w:cs="黑体"/>
                <w:sz w:val="18"/>
                <w:szCs w:val="18"/>
              </w:rPr>
              <w:t>摊铺6cmSMA 13细粒式沥青砼（玄武岩石料）。</w:t>
            </w:r>
          </w:p>
          <w:p w14:paraId="0637E243">
            <w:pPr>
              <w:jc w:val="left"/>
              <w:rPr>
                <w:rFonts w:ascii="黑体" w:hAnsi="黑体" w:eastAsia="黑体" w:cs="黑体"/>
                <w:sz w:val="18"/>
                <w:szCs w:val="18"/>
              </w:rPr>
            </w:pPr>
            <w:r>
              <w:rPr>
                <w:rFonts w:hint="eastAsia" w:ascii="黑体" w:hAnsi="黑体" w:eastAsia="黑体" w:cs="黑体"/>
                <w:sz w:val="18"/>
                <w:szCs w:val="18"/>
              </w:rPr>
              <w:t>1.材质：沥青玛蹄脂碎石混合料；13细粒式沥青混凝土；粗集料：采用玄武岩碎石，石料应坚硬、洁净、干燥、表面粗糙，其压碎值、磨光值、粘附性等指标须符合规范要求。</w:t>
            </w:r>
          </w:p>
          <w:p w14:paraId="27190E93">
            <w:pPr>
              <w:jc w:val="left"/>
              <w:rPr>
                <w:rFonts w:ascii="黑体" w:hAnsi="黑体" w:eastAsia="黑体" w:cs="黑体"/>
                <w:sz w:val="18"/>
                <w:szCs w:val="18"/>
              </w:rPr>
            </w:pPr>
            <w:r>
              <w:rPr>
                <w:rFonts w:hint="eastAsia" w:ascii="黑体" w:hAnsi="黑体" w:eastAsia="黑体" w:cs="黑体"/>
                <w:sz w:val="18"/>
                <w:szCs w:val="18"/>
              </w:rPr>
              <w:t>细集料：采用坚硬、洁净、干燥的玄武岩机制砂或石屑，由玄武岩碎石轧制而成，具有良好的棱角性。</w:t>
            </w:r>
          </w:p>
          <w:p w14:paraId="430E8A32">
            <w:pPr>
              <w:jc w:val="left"/>
              <w:rPr>
                <w:rFonts w:ascii="黑体" w:hAnsi="黑体" w:eastAsia="黑体" w:cs="黑体"/>
                <w:sz w:val="18"/>
                <w:szCs w:val="18"/>
              </w:rPr>
            </w:pPr>
            <w:r>
              <w:rPr>
                <w:rFonts w:hint="eastAsia" w:ascii="黑体" w:hAnsi="黑体" w:eastAsia="黑体" w:cs="黑体"/>
                <w:sz w:val="18"/>
                <w:szCs w:val="18"/>
              </w:rPr>
              <w:t>2.级配：6cmSMA 13细粒式沥青砼。其技术要求应严格控制在《公路沥青路面施工技术规范》（JTG F40）规定的范围内。</w:t>
            </w:r>
          </w:p>
        </w:tc>
        <w:tc>
          <w:tcPr>
            <w:tcW w:w="388" w:type="pct"/>
            <w:vAlign w:val="center"/>
          </w:tcPr>
          <w:p w14:paraId="225A06E1">
            <w:pPr>
              <w:jc w:val="left"/>
              <w:rPr>
                <w:rFonts w:ascii="黑体" w:hAnsi="黑体" w:eastAsia="黑体" w:cs="黑体"/>
                <w:sz w:val="18"/>
                <w:szCs w:val="18"/>
              </w:rPr>
            </w:pPr>
            <w:r>
              <w:rPr>
                <w:rFonts w:hint="eastAsia" w:ascii="黑体" w:hAnsi="黑体" w:eastAsia="黑体" w:cs="黑体"/>
                <w:sz w:val="18"/>
                <w:szCs w:val="18"/>
              </w:rPr>
              <w:t>㎡</w:t>
            </w:r>
          </w:p>
        </w:tc>
        <w:tc>
          <w:tcPr>
            <w:tcW w:w="385" w:type="pct"/>
            <w:vAlign w:val="center"/>
          </w:tcPr>
          <w:p w14:paraId="6D593D0D">
            <w:pPr>
              <w:jc w:val="left"/>
              <w:rPr>
                <w:rFonts w:ascii="黑体" w:hAnsi="黑体" w:eastAsia="黑体" w:cs="黑体"/>
                <w:sz w:val="18"/>
                <w:szCs w:val="18"/>
              </w:rPr>
            </w:pPr>
            <w:r>
              <w:rPr>
                <w:rFonts w:hint="eastAsia" w:ascii="黑体" w:hAnsi="黑体" w:eastAsia="黑体" w:cs="黑体"/>
                <w:sz w:val="18"/>
                <w:szCs w:val="18"/>
              </w:rPr>
              <w:t>6200</w:t>
            </w:r>
          </w:p>
        </w:tc>
        <w:tc>
          <w:tcPr>
            <w:tcW w:w="398" w:type="pct"/>
            <w:vAlign w:val="center"/>
          </w:tcPr>
          <w:p w14:paraId="11278C04">
            <w:pPr>
              <w:jc w:val="left"/>
              <w:rPr>
                <w:rFonts w:ascii="黑体" w:hAnsi="黑体" w:eastAsia="黑体" w:cs="黑体"/>
                <w:sz w:val="18"/>
                <w:szCs w:val="18"/>
              </w:rPr>
            </w:pPr>
          </w:p>
        </w:tc>
        <w:tc>
          <w:tcPr>
            <w:tcW w:w="547" w:type="pct"/>
            <w:vAlign w:val="center"/>
          </w:tcPr>
          <w:p w14:paraId="1976EEDE">
            <w:pPr>
              <w:jc w:val="left"/>
              <w:rPr>
                <w:rFonts w:ascii="黑体" w:hAnsi="黑体" w:eastAsia="黑体" w:cs="黑体"/>
                <w:sz w:val="18"/>
                <w:szCs w:val="18"/>
              </w:rPr>
            </w:pPr>
          </w:p>
        </w:tc>
        <w:tc>
          <w:tcPr>
            <w:tcW w:w="898" w:type="pct"/>
            <w:vAlign w:val="center"/>
          </w:tcPr>
          <w:p w14:paraId="15101878">
            <w:pPr>
              <w:jc w:val="left"/>
              <w:rPr>
                <w:rFonts w:ascii="黑体" w:hAnsi="黑体" w:eastAsia="黑体" w:cs="黑体"/>
                <w:sz w:val="18"/>
                <w:szCs w:val="18"/>
              </w:rPr>
            </w:pPr>
            <w:r>
              <w:rPr>
                <w:rFonts w:hint="eastAsia" w:ascii="黑体" w:hAnsi="黑体" w:eastAsia="黑体" w:cs="黑体"/>
                <w:sz w:val="18"/>
                <w:szCs w:val="18"/>
              </w:rPr>
              <w:t>运输、措施费综合考虑</w:t>
            </w:r>
          </w:p>
        </w:tc>
      </w:tr>
      <w:tr w14:paraId="6878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243" w:type="pct"/>
            <w:vAlign w:val="center"/>
          </w:tcPr>
          <w:p w14:paraId="690FC853">
            <w:pPr>
              <w:jc w:val="left"/>
              <w:rPr>
                <w:rFonts w:ascii="黑体" w:hAnsi="黑体" w:eastAsia="黑体" w:cs="黑体"/>
                <w:sz w:val="18"/>
                <w:szCs w:val="18"/>
              </w:rPr>
            </w:pPr>
            <w:r>
              <w:rPr>
                <w:rFonts w:hint="eastAsia" w:ascii="黑体" w:hAnsi="黑体" w:eastAsia="黑体" w:cs="黑体"/>
                <w:sz w:val="18"/>
                <w:szCs w:val="18"/>
              </w:rPr>
              <w:t>5</w:t>
            </w:r>
          </w:p>
        </w:tc>
        <w:tc>
          <w:tcPr>
            <w:tcW w:w="2138" w:type="pct"/>
            <w:vAlign w:val="center"/>
          </w:tcPr>
          <w:p w14:paraId="30138008">
            <w:pPr>
              <w:jc w:val="left"/>
              <w:rPr>
                <w:rFonts w:ascii="黑体" w:hAnsi="黑体" w:eastAsia="黑体" w:cs="黑体"/>
                <w:sz w:val="18"/>
                <w:szCs w:val="18"/>
              </w:rPr>
            </w:pPr>
            <w:r>
              <w:rPr>
                <w:rFonts w:hint="eastAsia" w:ascii="黑体" w:hAnsi="黑体" w:eastAsia="黑体" w:cs="黑体"/>
                <w:sz w:val="18"/>
                <w:szCs w:val="18"/>
              </w:rPr>
              <w:t>合计</w:t>
            </w:r>
          </w:p>
        </w:tc>
        <w:tc>
          <w:tcPr>
            <w:tcW w:w="388" w:type="pct"/>
            <w:vAlign w:val="center"/>
          </w:tcPr>
          <w:p w14:paraId="2A9B310B">
            <w:pPr>
              <w:jc w:val="left"/>
              <w:rPr>
                <w:rFonts w:ascii="黑体" w:hAnsi="黑体" w:eastAsia="黑体" w:cs="黑体"/>
                <w:sz w:val="18"/>
                <w:szCs w:val="18"/>
              </w:rPr>
            </w:pPr>
          </w:p>
        </w:tc>
        <w:tc>
          <w:tcPr>
            <w:tcW w:w="385" w:type="pct"/>
            <w:vAlign w:val="center"/>
          </w:tcPr>
          <w:p w14:paraId="303E842E">
            <w:pPr>
              <w:jc w:val="left"/>
              <w:rPr>
                <w:rFonts w:ascii="黑体" w:hAnsi="黑体" w:eastAsia="黑体" w:cs="黑体"/>
                <w:sz w:val="18"/>
                <w:szCs w:val="18"/>
              </w:rPr>
            </w:pPr>
          </w:p>
        </w:tc>
        <w:tc>
          <w:tcPr>
            <w:tcW w:w="398" w:type="pct"/>
            <w:vAlign w:val="center"/>
          </w:tcPr>
          <w:p w14:paraId="3C1B848C">
            <w:pPr>
              <w:jc w:val="left"/>
              <w:rPr>
                <w:rFonts w:ascii="黑体" w:hAnsi="黑体" w:eastAsia="黑体" w:cs="黑体"/>
                <w:sz w:val="18"/>
                <w:szCs w:val="18"/>
              </w:rPr>
            </w:pPr>
          </w:p>
        </w:tc>
        <w:tc>
          <w:tcPr>
            <w:tcW w:w="547" w:type="pct"/>
            <w:vAlign w:val="center"/>
          </w:tcPr>
          <w:p w14:paraId="769AC0C6">
            <w:pPr>
              <w:jc w:val="left"/>
              <w:rPr>
                <w:rFonts w:ascii="黑体" w:hAnsi="黑体" w:eastAsia="黑体" w:cs="黑体"/>
                <w:sz w:val="18"/>
                <w:szCs w:val="18"/>
              </w:rPr>
            </w:pPr>
          </w:p>
        </w:tc>
        <w:tc>
          <w:tcPr>
            <w:tcW w:w="898" w:type="pct"/>
            <w:vAlign w:val="center"/>
          </w:tcPr>
          <w:p w14:paraId="55FE63D3">
            <w:pPr>
              <w:jc w:val="left"/>
              <w:rPr>
                <w:rFonts w:ascii="黑体" w:hAnsi="黑体" w:eastAsia="黑体" w:cs="黑体"/>
                <w:sz w:val="18"/>
                <w:szCs w:val="18"/>
              </w:rPr>
            </w:pPr>
          </w:p>
        </w:tc>
      </w:tr>
    </w:tbl>
    <w:p w14:paraId="73C34173">
      <w:pPr>
        <w:spacing w:after="31" w:afterLines="10"/>
        <w:ind w:firstLine="643" w:firstLineChars="200"/>
        <w:jc w:val="center"/>
        <w:rPr>
          <w:rFonts w:ascii="宋体" w:hAnsi="宋体" w:cs="仿宋"/>
          <w:b/>
          <w:bCs/>
          <w:sz w:val="32"/>
          <w:szCs w:val="32"/>
        </w:rPr>
      </w:pPr>
    </w:p>
    <w:p w14:paraId="2183C115">
      <w:pPr>
        <w:pStyle w:val="11"/>
        <w:spacing w:line="360" w:lineRule="auto"/>
        <w:rPr>
          <w:rFonts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投标单位：（盖章）</w:t>
      </w:r>
    </w:p>
    <w:p w14:paraId="5F4EEF35">
      <w:pPr>
        <w:pStyle w:val="11"/>
        <w:spacing w:line="360" w:lineRule="auto"/>
        <w:rPr>
          <w:rFonts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 xml:space="preserve">法定代表人或授权代表：（盖章或签字）           </w:t>
      </w:r>
    </w:p>
    <w:p w14:paraId="5FC5031F">
      <w:pPr>
        <w:pStyle w:val="11"/>
        <w:spacing w:line="360" w:lineRule="auto"/>
        <w:ind w:right="560"/>
        <w:jc w:val="left"/>
        <w:rPr>
          <w:rFonts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联系电话：</w:t>
      </w:r>
    </w:p>
    <w:p w14:paraId="064B4E82">
      <w:pPr>
        <w:pStyle w:val="11"/>
        <w:spacing w:line="360" w:lineRule="auto"/>
        <w:ind w:right="560" w:firstLine="3840" w:firstLineChars="1600"/>
        <w:jc w:val="right"/>
        <w:rPr>
          <w:rFonts w:ascii="微软雅黑" w:hAnsi="微软雅黑" w:eastAsia="微软雅黑" w:cs="微软雅黑"/>
          <w:sz w:val="24"/>
          <w:szCs w:val="24"/>
          <w:shd w:val="clear" w:color="auto" w:fill="FFFFFF"/>
        </w:rPr>
      </w:pPr>
      <w:r>
        <w:rPr>
          <w:rFonts w:hint="eastAsia" w:ascii="微软雅黑" w:hAnsi="微软雅黑" w:eastAsia="微软雅黑" w:cs="微软雅黑"/>
          <w:sz w:val="24"/>
          <w:szCs w:val="24"/>
          <w:shd w:val="clear" w:color="auto" w:fill="FFFFFF"/>
        </w:rPr>
        <w:t>日期：  年   月   日</w:t>
      </w:r>
    </w:p>
    <w:p w14:paraId="3D09F486">
      <w:pPr>
        <w:rPr>
          <w:rFonts w:ascii="宋体" w:hAnsi="宋体" w:cs="仿宋"/>
          <w:b/>
          <w:bCs/>
          <w:sz w:val="32"/>
          <w:szCs w:val="32"/>
        </w:rPr>
      </w:pPr>
      <w:r>
        <w:rPr>
          <w:rFonts w:hint="eastAsia" w:ascii="微软雅黑" w:hAnsi="微软雅黑" w:eastAsia="微软雅黑" w:cs="微软雅黑"/>
          <w:sz w:val="24"/>
          <w:shd w:val="clear" w:color="auto" w:fill="FFFFFF"/>
        </w:rPr>
        <w:br w:type="page"/>
      </w:r>
    </w:p>
    <w:p w14:paraId="7A3DA746">
      <w:pPr>
        <w:pStyle w:val="27"/>
        <w:jc w:val="center"/>
        <w:rPr>
          <w:rFonts w:ascii="宋体" w:hAnsi="宋体" w:eastAsia="宋体" w:cs="宋体"/>
          <w:b/>
          <w:bCs/>
          <w:sz w:val="32"/>
          <w:szCs w:val="32"/>
        </w:rPr>
      </w:pPr>
      <w:bookmarkStart w:id="677" w:name="_Toc508871759"/>
      <w:r>
        <w:rPr>
          <w:rFonts w:hint="eastAsia" w:ascii="宋体" w:hAnsi="宋体" w:eastAsia="宋体" w:cs="宋体"/>
          <w:b/>
          <w:bCs/>
          <w:sz w:val="32"/>
          <w:szCs w:val="32"/>
          <w:shd w:val="clear" w:color="auto" w:fill="FFFFFF"/>
        </w:rPr>
        <w:t>6</w:t>
      </w:r>
      <w:r>
        <w:rPr>
          <w:rFonts w:hint="eastAsia" w:ascii="宋体" w:hAnsi="宋体" w:eastAsia="宋体" w:cs="宋体"/>
          <w:b/>
          <w:bCs/>
          <w:sz w:val="32"/>
          <w:szCs w:val="32"/>
        </w:rPr>
        <w:t>、商务或技术偏差表</w:t>
      </w:r>
      <w:bookmarkEnd w:id="677"/>
    </w:p>
    <w:p w14:paraId="279AC88C">
      <w:pPr>
        <w:widowControl/>
        <w:spacing w:line="360" w:lineRule="auto"/>
        <w:jc w:val="center"/>
        <w:rPr>
          <w:rFonts w:ascii="宋体" w:hAnsi="宋体" w:cs="仿宋"/>
          <w:b/>
          <w:kern w:val="0"/>
          <w:sz w:val="24"/>
        </w:rPr>
      </w:pPr>
      <w:r>
        <w:rPr>
          <w:rFonts w:hint="eastAsia" w:ascii="宋体" w:hAnsi="宋体" w:cs="仿宋"/>
          <w:b/>
          <w:kern w:val="0"/>
          <w:sz w:val="24"/>
        </w:rPr>
        <w:t>商务</w:t>
      </w:r>
      <w:r>
        <w:rPr>
          <w:rFonts w:hint="eastAsia" w:cs="仿宋"/>
          <w:b/>
          <w:kern w:val="0"/>
          <w:sz w:val="24"/>
        </w:rPr>
        <w:t>或技术</w:t>
      </w:r>
      <w:r>
        <w:rPr>
          <w:rFonts w:hint="eastAsia" w:ascii="宋体" w:hAnsi="宋体" w:cs="仿宋"/>
          <w:b/>
          <w:kern w:val="0"/>
          <w:sz w:val="24"/>
        </w:rPr>
        <w:t>偏差表</w:t>
      </w:r>
    </w:p>
    <w:tbl>
      <w:tblPr>
        <w:tblStyle w:val="1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4"/>
        <w:gridCol w:w="1331"/>
        <w:gridCol w:w="992"/>
        <w:gridCol w:w="2551"/>
        <w:gridCol w:w="1985"/>
        <w:gridCol w:w="1417"/>
      </w:tblGrid>
      <w:tr w14:paraId="23AF5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04" w:type="dxa"/>
            <w:vMerge w:val="restart"/>
            <w:tcBorders>
              <w:top w:val="single" w:color="000000" w:sz="4" w:space="0"/>
              <w:left w:val="single" w:color="000000" w:sz="4" w:space="0"/>
              <w:bottom w:val="single" w:color="000000" w:sz="4" w:space="0"/>
              <w:right w:val="single" w:color="000000" w:sz="4" w:space="0"/>
            </w:tcBorders>
            <w:vAlign w:val="center"/>
          </w:tcPr>
          <w:p w14:paraId="51D72F19">
            <w:pPr>
              <w:overflowPunct w:val="0"/>
              <w:topLinePunct/>
              <w:spacing w:line="360" w:lineRule="auto"/>
              <w:ind w:right="14"/>
              <w:jc w:val="center"/>
              <w:rPr>
                <w:rFonts w:ascii="仿宋" w:hAnsi="仿宋" w:eastAsia="仿宋" w:cs="仿宋"/>
                <w:position w:val="-9"/>
                <w:sz w:val="24"/>
              </w:rPr>
            </w:pPr>
            <w:r>
              <w:rPr>
                <w:rFonts w:hint="eastAsia" w:ascii="仿宋" w:hAnsi="仿宋" w:eastAsia="仿宋" w:cs="仿宋"/>
                <w:position w:val="-9"/>
                <w:sz w:val="24"/>
              </w:rPr>
              <w:t>商务或技术偏差</w:t>
            </w:r>
          </w:p>
        </w:tc>
        <w:tc>
          <w:tcPr>
            <w:tcW w:w="1331" w:type="dxa"/>
            <w:tcBorders>
              <w:top w:val="single" w:color="000000" w:sz="4" w:space="0"/>
              <w:left w:val="single" w:color="000000" w:sz="4" w:space="0"/>
              <w:bottom w:val="single" w:color="000000" w:sz="4" w:space="0"/>
              <w:right w:val="single" w:color="000000" w:sz="4" w:space="0"/>
            </w:tcBorders>
            <w:vAlign w:val="center"/>
          </w:tcPr>
          <w:p w14:paraId="30B7797D">
            <w:pPr>
              <w:overflowPunct w:val="0"/>
              <w:topLinePunct/>
              <w:spacing w:line="360" w:lineRule="auto"/>
              <w:ind w:right="14"/>
              <w:jc w:val="center"/>
              <w:rPr>
                <w:rFonts w:ascii="仿宋" w:hAnsi="仿宋" w:eastAsia="仿宋" w:cs="仿宋"/>
                <w:position w:val="-9"/>
                <w:sz w:val="24"/>
              </w:rPr>
            </w:pPr>
            <w:r>
              <w:rPr>
                <w:rFonts w:hint="eastAsia" w:ascii="仿宋" w:hAnsi="仿宋" w:eastAsia="仿宋" w:cs="仿宋"/>
                <w:position w:val="-9"/>
                <w:sz w:val="24"/>
              </w:rPr>
              <w:t>条目</w:t>
            </w:r>
          </w:p>
        </w:tc>
        <w:tc>
          <w:tcPr>
            <w:tcW w:w="992" w:type="dxa"/>
            <w:tcBorders>
              <w:top w:val="single" w:color="000000" w:sz="4" w:space="0"/>
              <w:left w:val="single" w:color="000000" w:sz="4" w:space="0"/>
              <w:bottom w:val="single" w:color="000000" w:sz="4" w:space="0"/>
              <w:right w:val="single" w:color="000000" w:sz="4" w:space="0"/>
            </w:tcBorders>
            <w:vAlign w:val="center"/>
          </w:tcPr>
          <w:p w14:paraId="528AB959">
            <w:pPr>
              <w:overflowPunct w:val="0"/>
              <w:topLinePunct/>
              <w:spacing w:line="360" w:lineRule="auto"/>
              <w:ind w:right="14"/>
              <w:jc w:val="center"/>
              <w:rPr>
                <w:rFonts w:ascii="仿宋" w:hAnsi="仿宋" w:eastAsia="仿宋" w:cs="仿宋"/>
                <w:position w:val="-9"/>
                <w:sz w:val="24"/>
              </w:rPr>
            </w:pPr>
            <w:r>
              <w:rPr>
                <w:rFonts w:hint="eastAsia" w:ascii="仿宋" w:hAnsi="仿宋" w:eastAsia="仿宋" w:cs="仿宋"/>
                <w:position w:val="-9"/>
                <w:sz w:val="24"/>
              </w:rPr>
              <w:t>页码</w:t>
            </w:r>
          </w:p>
        </w:tc>
        <w:tc>
          <w:tcPr>
            <w:tcW w:w="2551" w:type="dxa"/>
            <w:tcBorders>
              <w:top w:val="single" w:color="000000" w:sz="4" w:space="0"/>
              <w:left w:val="single" w:color="000000" w:sz="4" w:space="0"/>
              <w:bottom w:val="single" w:color="000000" w:sz="4" w:space="0"/>
              <w:right w:val="single" w:color="000000" w:sz="4" w:space="0"/>
            </w:tcBorders>
            <w:vAlign w:val="center"/>
          </w:tcPr>
          <w:p w14:paraId="3675C1E1">
            <w:pPr>
              <w:overflowPunct w:val="0"/>
              <w:topLinePunct/>
              <w:spacing w:line="360" w:lineRule="auto"/>
              <w:ind w:right="14"/>
              <w:jc w:val="center"/>
              <w:rPr>
                <w:rFonts w:ascii="仿宋" w:hAnsi="仿宋" w:eastAsia="仿宋" w:cs="仿宋"/>
                <w:position w:val="-9"/>
                <w:sz w:val="24"/>
              </w:rPr>
            </w:pPr>
            <w:r>
              <w:rPr>
                <w:rFonts w:hint="eastAsia" w:ascii="仿宋" w:hAnsi="仿宋" w:eastAsia="仿宋" w:cs="仿宋"/>
                <w:position w:val="-9"/>
                <w:sz w:val="24"/>
              </w:rPr>
              <w:t>招标文件规定</w:t>
            </w:r>
          </w:p>
        </w:tc>
        <w:tc>
          <w:tcPr>
            <w:tcW w:w="1985" w:type="dxa"/>
            <w:tcBorders>
              <w:top w:val="single" w:color="000000" w:sz="4" w:space="0"/>
              <w:left w:val="single" w:color="000000" w:sz="4" w:space="0"/>
              <w:bottom w:val="single" w:color="000000" w:sz="4" w:space="0"/>
              <w:right w:val="single" w:color="000000" w:sz="4" w:space="0"/>
            </w:tcBorders>
            <w:vAlign w:val="center"/>
          </w:tcPr>
          <w:p w14:paraId="08B7FD78">
            <w:pPr>
              <w:overflowPunct w:val="0"/>
              <w:topLinePunct/>
              <w:spacing w:line="360" w:lineRule="auto"/>
              <w:ind w:right="14"/>
              <w:jc w:val="center"/>
              <w:rPr>
                <w:rFonts w:ascii="仿宋" w:hAnsi="仿宋" w:eastAsia="仿宋" w:cs="仿宋"/>
                <w:position w:val="-9"/>
                <w:sz w:val="24"/>
              </w:rPr>
            </w:pPr>
            <w:r>
              <w:rPr>
                <w:rFonts w:hint="eastAsia" w:ascii="仿宋" w:hAnsi="仿宋" w:eastAsia="仿宋" w:cs="仿宋"/>
                <w:position w:val="-9"/>
                <w:sz w:val="24"/>
              </w:rPr>
              <w:t>偏差</w:t>
            </w:r>
          </w:p>
        </w:tc>
        <w:tc>
          <w:tcPr>
            <w:tcW w:w="1417" w:type="dxa"/>
            <w:tcBorders>
              <w:top w:val="single" w:color="000000" w:sz="4" w:space="0"/>
              <w:left w:val="single" w:color="000000" w:sz="4" w:space="0"/>
              <w:bottom w:val="single" w:color="000000" w:sz="4" w:space="0"/>
              <w:right w:val="single" w:color="000000" w:sz="4" w:space="0"/>
            </w:tcBorders>
            <w:vAlign w:val="center"/>
          </w:tcPr>
          <w:p w14:paraId="1707F886">
            <w:pPr>
              <w:overflowPunct w:val="0"/>
              <w:topLinePunct/>
              <w:spacing w:line="360" w:lineRule="auto"/>
              <w:ind w:right="14"/>
              <w:jc w:val="center"/>
              <w:rPr>
                <w:rFonts w:ascii="仿宋" w:hAnsi="仿宋" w:eastAsia="仿宋" w:cs="仿宋"/>
                <w:position w:val="-9"/>
                <w:sz w:val="24"/>
              </w:rPr>
            </w:pPr>
            <w:r>
              <w:rPr>
                <w:rFonts w:hint="eastAsia" w:ascii="仿宋" w:hAnsi="仿宋" w:eastAsia="仿宋" w:cs="仿宋"/>
                <w:position w:val="-9"/>
                <w:sz w:val="24"/>
              </w:rPr>
              <w:t>备注</w:t>
            </w:r>
          </w:p>
        </w:tc>
      </w:tr>
      <w:tr w14:paraId="07AA7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04" w:type="dxa"/>
            <w:vMerge w:val="continue"/>
            <w:tcBorders>
              <w:top w:val="single" w:color="000000" w:sz="4" w:space="0"/>
              <w:left w:val="single" w:color="000000" w:sz="4" w:space="0"/>
              <w:bottom w:val="single" w:color="000000" w:sz="4" w:space="0"/>
              <w:right w:val="single" w:color="000000" w:sz="4" w:space="0"/>
            </w:tcBorders>
            <w:vAlign w:val="center"/>
          </w:tcPr>
          <w:p w14:paraId="1596EB99">
            <w:pPr>
              <w:widowControl/>
              <w:spacing w:line="360" w:lineRule="auto"/>
              <w:jc w:val="left"/>
              <w:rPr>
                <w:rFonts w:ascii="仿宋" w:hAnsi="仿宋" w:eastAsia="仿宋" w:cs="仿宋"/>
                <w:position w:val="-9"/>
                <w:sz w:val="24"/>
              </w:rPr>
            </w:pPr>
          </w:p>
        </w:tc>
        <w:tc>
          <w:tcPr>
            <w:tcW w:w="1331" w:type="dxa"/>
            <w:tcBorders>
              <w:top w:val="single" w:color="000000" w:sz="4" w:space="0"/>
              <w:left w:val="single" w:color="000000" w:sz="4" w:space="0"/>
              <w:bottom w:val="single" w:color="000000" w:sz="4" w:space="0"/>
              <w:right w:val="single" w:color="000000" w:sz="4" w:space="0"/>
            </w:tcBorders>
            <w:vAlign w:val="center"/>
          </w:tcPr>
          <w:p w14:paraId="5D2C906D">
            <w:pPr>
              <w:overflowPunct w:val="0"/>
              <w:topLinePunct/>
              <w:spacing w:line="360" w:lineRule="auto"/>
              <w:ind w:right="14"/>
              <w:jc w:val="center"/>
              <w:rPr>
                <w:rFonts w:ascii="仿宋" w:hAnsi="仿宋" w:eastAsia="仿宋" w:cs="仿宋"/>
                <w:position w:val="-9"/>
                <w:sz w:val="24"/>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19C64B73">
            <w:pPr>
              <w:overflowPunct w:val="0"/>
              <w:topLinePunct/>
              <w:spacing w:line="360" w:lineRule="auto"/>
              <w:ind w:right="14"/>
              <w:jc w:val="center"/>
              <w:rPr>
                <w:rFonts w:ascii="仿宋" w:hAnsi="仿宋" w:eastAsia="仿宋" w:cs="仿宋"/>
                <w:position w:val="-9"/>
                <w:sz w:val="24"/>
              </w:rPr>
            </w:pPr>
          </w:p>
        </w:tc>
        <w:tc>
          <w:tcPr>
            <w:tcW w:w="2551" w:type="dxa"/>
            <w:tcBorders>
              <w:top w:val="single" w:color="000000" w:sz="4" w:space="0"/>
              <w:left w:val="single" w:color="000000" w:sz="4" w:space="0"/>
              <w:bottom w:val="single" w:color="000000" w:sz="4" w:space="0"/>
              <w:right w:val="single" w:color="000000" w:sz="4" w:space="0"/>
            </w:tcBorders>
            <w:vAlign w:val="center"/>
          </w:tcPr>
          <w:p w14:paraId="38B051B6">
            <w:pPr>
              <w:overflowPunct w:val="0"/>
              <w:topLinePunct/>
              <w:spacing w:line="360" w:lineRule="auto"/>
              <w:ind w:right="14"/>
              <w:jc w:val="center"/>
              <w:rPr>
                <w:rFonts w:ascii="仿宋" w:hAnsi="仿宋" w:eastAsia="仿宋" w:cs="仿宋"/>
                <w:position w:val="-9"/>
                <w:sz w:val="24"/>
              </w:rPr>
            </w:pPr>
          </w:p>
        </w:tc>
        <w:tc>
          <w:tcPr>
            <w:tcW w:w="1985" w:type="dxa"/>
            <w:tcBorders>
              <w:top w:val="single" w:color="000000" w:sz="4" w:space="0"/>
              <w:left w:val="single" w:color="000000" w:sz="4" w:space="0"/>
              <w:bottom w:val="single" w:color="000000" w:sz="4" w:space="0"/>
              <w:right w:val="single" w:color="000000" w:sz="4" w:space="0"/>
            </w:tcBorders>
            <w:vAlign w:val="center"/>
          </w:tcPr>
          <w:p w14:paraId="6FDA91D5">
            <w:pPr>
              <w:overflowPunct w:val="0"/>
              <w:topLinePunct/>
              <w:spacing w:line="360" w:lineRule="auto"/>
              <w:ind w:right="14"/>
              <w:jc w:val="center"/>
              <w:rPr>
                <w:rFonts w:ascii="仿宋" w:hAnsi="仿宋" w:eastAsia="仿宋" w:cs="仿宋"/>
                <w:position w:val="-9"/>
                <w:sz w:val="24"/>
              </w:rPr>
            </w:pPr>
          </w:p>
        </w:tc>
        <w:tc>
          <w:tcPr>
            <w:tcW w:w="1417" w:type="dxa"/>
            <w:tcBorders>
              <w:top w:val="single" w:color="000000" w:sz="4" w:space="0"/>
              <w:left w:val="single" w:color="000000" w:sz="4" w:space="0"/>
              <w:bottom w:val="single" w:color="000000" w:sz="4" w:space="0"/>
              <w:right w:val="single" w:color="000000" w:sz="4" w:space="0"/>
            </w:tcBorders>
            <w:vAlign w:val="center"/>
          </w:tcPr>
          <w:p w14:paraId="02453766">
            <w:pPr>
              <w:overflowPunct w:val="0"/>
              <w:topLinePunct/>
              <w:spacing w:line="360" w:lineRule="auto"/>
              <w:ind w:right="14"/>
              <w:jc w:val="center"/>
              <w:rPr>
                <w:rFonts w:ascii="仿宋" w:hAnsi="仿宋" w:eastAsia="仿宋" w:cs="仿宋"/>
                <w:position w:val="-9"/>
                <w:sz w:val="24"/>
              </w:rPr>
            </w:pPr>
          </w:p>
        </w:tc>
      </w:tr>
      <w:tr w14:paraId="690AE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04" w:type="dxa"/>
            <w:vMerge w:val="continue"/>
            <w:tcBorders>
              <w:top w:val="single" w:color="000000" w:sz="4" w:space="0"/>
              <w:left w:val="single" w:color="000000" w:sz="4" w:space="0"/>
              <w:bottom w:val="single" w:color="000000" w:sz="4" w:space="0"/>
              <w:right w:val="single" w:color="000000" w:sz="4" w:space="0"/>
            </w:tcBorders>
            <w:vAlign w:val="center"/>
          </w:tcPr>
          <w:p w14:paraId="11B858A0">
            <w:pPr>
              <w:widowControl/>
              <w:spacing w:line="360" w:lineRule="auto"/>
              <w:jc w:val="left"/>
              <w:rPr>
                <w:rFonts w:ascii="仿宋" w:hAnsi="仿宋" w:eastAsia="仿宋" w:cs="仿宋"/>
                <w:position w:val="-9"/>
                <w:sz w:val="24"/>
              </w:rPr>
            </w:pPr>
          </w:p>
        </w:tc>
        <w:tc>
          <w:tcPr>
            <w:tcW w:w="1331" w:type="dxa"/>
            <w:tcBorders>
              <w:top w:val="single" w:color="000000" w:sz="4" w:space="0"/>
              <w:left w:val="single" w:color="000000" w:sz="4" w:space="0"/>
              <w:bottom w:val="single" w:color="000000" w:sz="4" w:space="0"/>
              <w:right w:val="single" w:color="000000" w:sz="4" w:space="0"/>
            </w:tcBorders>
            <w:vAlign w:val="center"/>
          </w:tcPr>
          <w:p w14:paraId="0A7E3B42">
            <w:pPr>
              <w:overflowPunct w:val="0"/>
              <w:topLinePunct/>
              <w:spacing w:line="360" w:lineRule="auto"/>
              <w:ind w:right="14"/>
              <w:jc w:val="center"/>
              <w:rPr>
                <w:rFonts w:ascii="仿宋" w:hAnsi="仿宋" w:eastAsia="仿宋" w:cs="仿宋"/>
                <w:position w:val="-9"/>
                <w:sz w:val="24"/>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6EBF9E78">
            <w:pPr>
              <w:overflowPunct w:val="0"/>
              <w:topLinePunct/>
              <w:spacing w:line="360" w:lineRule="auto"/>
              <w:ind w:right="14"/>
              <w:jc w:val="center"/>
              <w:rPr>
                <w:rFonts w:ascii="仿宋" w:hAnsi="仿宋" w:eastAsia="仿宋" w:cs="仿宋"/>
                <w:position w:val="-9"/>
                <w:sz w:val="24"/>
              </w:rPr>
            </w:pPr>
          </w:p>
        </w:tc>
        <w:tc>
          <w:tcPr>
            <w:tcW w:w="2551" w:type="dxa"/>
            <w:tcBorders>
              <w:top w:val="single" w:color="000000" w:sz="4" w:space="0"/>
              <w:left w:val="single" w:color="000000" w:sz="4" w:space="0"/>
              <w:bottom w:val="single" w:color="000000" w:sz="4" w:space="0"/>
              <w:right w:val="single" w:color="000000" w:sz="4" w:space="0"/>
            </w:tcBorders>
            <w:vAlign w:val="center"/>
          </w:tcPr>
          <w:p w14:paraId="32E621B5">
            <w:pPr>
              <w:overflowPunct w:val="0"/>
              <w:topLinePunct/>
              <w:spacing w:line="360" w:lineRule="auto"/>
              <w:ind w:right="14"/>
              <w:jc w:val="center"/>
              <w:rPr>
                <w:rFonts w:ascii="仿宋" w:hAnsi="仿宋" w:eastAsia="仿宋" w:cs="仿宋"/>
                <w:position w:val="-9"/>
                <w:sz w:val="24"/>
              </w:rPr>
            </w:pPr>
          </w:p>
        </w:tc>
        <w:tc>
          <w:tcPr>
            <w:tcW w:w="1985" w:type="dxa"/>
            <w:tcBorders>
              <w:top w:val="single" w:color="000000" w:sz="4" w:space="0"/>
              <w:left w:val="single" w:color="000000" w:sz="4" w:space="0"/>
              <w:bottom w:val="single" w:color="000000" w:sz="4" w:space="0"/>
              <w:right w:val="single" w:color="000000" w:sz="4" w:space="0"/>
            </w:tcBorders>
            <w:vAlign w:val="center"/>
          </w:tcPr>
          <w:p w14:paraId="1B4281F7">
            <w:pPr>
              <w:overflowPunct w:val="0"/>
              <w:topLinePunct/>
              <w:spacing w:line="360" w:lineRule="auto"/>
              <w:ind w:right="14"/>
              <w:jc w:val="center"/>
              <w:rPr>
                <w:rFonts w:ascii="仿宋" w:hAnsi="仿宋" w:eastAsia="仿宋" w:cs="仿宋"/>
                <w:position w:val="-9"/>
                <w:sz w:val="24"/>
              </w:rPr>
            </w:pPr>
          </w:p>
        </w:tc>
        <w:tc>
          <w:tcPr>
            <w:tcW w:w="1417" w:type="dxa"/>
            <w:tcBorders>
              <w:top w:val="single" w:color="000000" w:sz="4" w:space="0"/>
              <w:left w:val="single" w:color="000000" w:sz="4" w:space="0"/>
              <w:bottom w:val="single" w:color="000000" w:sz="4" w:space="0"/>
              <w:right w:val="single" w:color="000000" w:sz="4" w:space="0"/>
            </w:tcBorders>
            <w:vAlign w:val="center"/>
          </w:tcPr>
          <w:p w14:paraId="7DA668D9">
            <w:pPr>
              <w:overflowPunct w:val="0"/>
              <w:topLinePunct/>
              <w:spacing w:line="360" w:lineRule="auto"/>
              <w:ind w:right="14"/>
              <w:jc w:val="center"/>
              <w:rPr>
                <w:rFonts w:ascii="仿宋" w:hAnsi="仿宋" w:eastAsia="仿宋" w:cs="仿宋"/>
                <w:position w:val="-9"/>
                <w:sz w:val="24"/>
              </w:rPr>
            </w:pPr>
          </w:p>
        </w:tc>
      </w:tr>
      <w:tr w14:paraId="5ED56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04" w:type="dxa"/>
            <w:vMerge w:val="continue"/>
            <w:tcBorders>
              <w:top w:val="single" w:color="000000" w:sz="4" w:space="0"/>
              <w:left w:val="single" w:color="000000" w:sz="4" w:space="0"/>
              <w:bottom w:val="single" w:color="000000" w:sz="4" w:space="0"/>
              <w:right w:val="single" w:color="000000" w:sz="4" w:space="0"/>
            </w:tcBorders>
            <w:vAlign w:val="center"/>
          </w:tcPr>
          <w:p w14:paraId="64A21F25">
            <w:pPr>
              <w:widowControl/>
              <w:spacing w:line="360" w:lineRule="auto"/>
              <w:jc w:val="left"/>
              <w:rPr>
                <w:rFonts w:ascii="仿宋" w:hAnsi="仿宋" w:eastAsia="仿宋" w:cs="仿宋"/>
                <w:position w:val="-9"/>
                <w:sz w:val="24"/>
              </w:rPr>
            </w:pPr>
          </w:p>
        </w:tc>
        <w:tc>
          <w:tcPr>
            <w:tcW w:w="1331" w:type="dxa"/>
            <w:tcBorders>
              <w:top w:val="single" w:color="000000" w:sz="4" w:space="0"/>
              <w:left w:val="single" w:color="000000" w:sz="4" w:space="0"/>
              <w:bottom w:val="single" w:color="000000" w:sz="4" w:space="0"/>
              <w:right w:val="single" w:color="000000" w:sz="4" w:space="0"/>
            </w:tcBorders>
            <w:vAlign w:val="center"/>
          </w:tcPr>
          <w:p w14:paraId="7ADE2D45">
            <w:pPr>
              <w:overflowPunct w:val="0"/>
              <w:topLinePunct/>
              <w:spacing w:line="360" w:lineRule="auto"/>
              <w:ind w:right="14"/>
              <w:jc w:val="center"/>
              <w:rPr>
                <w:rFonts w:ascii="仿宋" w:hAnsi="仿宋" w:eastAsia="仿宋" w:cs="仿宋"/>
                <w:position w:val="-9"/>
                <w:sz w:val="24"/>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49D1C07E">
            <w:pPr>
              <w:overflowPunct w:val="0"/>
              <w:topLinePunct/>
              <w:spacing w:line="360" w:lineRule="auto"/>
              <w:ind w:right="14"/>
              <w:jc w:val="center"/>
              <w:rPr>
                <w:rFonts w:ascii="仿宋" w:hAnsi="仿宋" w:eastAsia="仿宋" w:cs="仿宋"/>
                <w:position w:val="-9"/>
                <w:sz w:val="24"/>
              </w:rPr>
            </w:pPr>
          </w:p>
        </w:tc>
        <w:tc>
          <w:tcPr>
            <w:tcW w:w="2551" w:type="dxa"/>
            <w:tcBorders>
              <w:top w:val="single" w:color="000000" w:sz="4" w:space="0"/>
              <w:left w:val="single" w:color="000000" w:sz="4" w:space="0"/>
              <w:bottom w:val="single" w:color="000000" w:sz="4" w:space="0"/>
              <w:right w:val="single" w:color="000000" w:sz="4" w:space="0"/>
            </w:tcBorders>
            <w:vAlign w:val="center"/>
          </w:tcPr>
          <w:p w14:paraId="6E9B247B">
            <w:pPr>
              <w:overflowPunct w:val="0"/>
              <w:topLinePunct/>
              <w:spacing w:line="360" w:lineRule="auto"/>
              <w:ind w:right="14"/>
              <w:jc w:val="center"/>
              <w:rPr>
                <w:rFonts w:ascii="仿宋" w:hAnsi="仿宋" w:eastAsia="仿宋" w:cs="仿宋"/>
                <w:position w:val="-9"/>
                <w:sz w:val="24"/>
              </w:rPr>
            </w:pPr>
          </w:p>
        </w:tc>
        <w:tc>
          <w:tcPr>
            <w:tcW w:w="1985" w:type="dxa"/>
            <w:tcBorders>
              <w:top w:val="single" w:color="000000" w:sz="4" w:space="0"/>
              <w:left w:val="single" w:color="000000" w:sz="4" w:space="0"/>
              <w:bottom w:val="single" w:color="000000" w:sz="4" w:space="0"/>
              <w:right w:val="single" w:color="000000" w:sz="4" w:space="0"/>
            </w:tcBorders>
            <w:vAlign w:val="center"/>
          </w:tcPr>
          <w:p w14:paraId="230628E7">
            <w:pPr>
              <w:overflowPunct w:val="0"/>
              <w:topLinePunct/>
              <w:spacing w:line="360" w:lineRule="auto"/>
              <w:ind w:right="14"/>
              <w:jc w:val="center"/>
              <w:rPr>
                <w:rFonts w:ascii="仿宋" w:hAnsi="仿宋" w:eastAsia="仿宋" w:cs="仿宋"/>
                <w:position w:val="-9"/>
                <w:sz w:val="24"/>
              </w:rPr>
            </w:pPr>
          </w:p>
        </w:tc>
        <w:tc>
          <w:tcPr>
            <w:tcW w:w="1417" w:type="dxa"/>
            <w:tcBorders>
              <w:top w:val="single" w:color="000000" w:sz="4" w:space="0"/>
              <w:left w:val="single" w:color="000000" w:sz="4" w:space="0"/>
              <w:bottom w:val="single" w:color="000000" w:sz="4" w:space="0"/>
              <w:right w:val="single" w:color="000000" w:sz="4" w:space="0"/>
            </w:tcBorders>
            <w:vAlign w:val="center"/>
          </w:tcPr>
          <w:p w14:paraId="25F621E9">
            <w:pPr>
              <w:overflowPunct w:val="0"/>
              <w:topLinePunct/>
              <w:spacing w:line="360" w:lineRule="auto"/>
              <w:ind w:right="14"/>
              <w:jc w:val="center"/>
              <w:rPr>
                <w:rFonts w:ascii="仿宋" w:hAnsi="仿宋" w:eastAsia="仿宋" w:cs="仿宋"/>
                <w:position w:val="-9"/>
                <w:sz w:val="24"/>
              </w:rPr>
            </w:pPr>
          </w:p>
        </w:tc>
      </w:tr>
      <w:tr w14:paraId="7B295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04" w:type="dxa"/>
            <w:vMerge w:val="continue"/>
            <w:tcBorders>
              <w:top w:val="single" w:color="000000" w:sz="4" w:space="0"/>
              <w:left w:val="single" w:color="000000" w:sz="4" w:space="0"/>
              <w:bottom w:val="single" w:color="000000" w:sz="4" w:space="0"/>
              <w:right w:val="single" w:color="000000" w:sz="4" w:space="0"/>
            </w:tcBorders>
            <w:vAlign w:val="center"/>
          </w:tcPr>
          <w:p w14:paraId="6750EA85">
            <w:pPr>
              <w:widowControl/>
              <w:spacing w:line="360" w:lineRule="auto"/>
              <w:jc w:val="left"/>
              <w:rPr>
                <w:rFonts w:ascii="仿宋" w:hAnsi="仿宋" w:eastAsia="仿宋" w:cs="仿宋"/>
                <w:position w:val="-9"/>
                <w:sz w:val="24"/>
              </w:rPr>
            </w:pPr>
          </w:p>
        </w:tc>
        <w:tc>
          <w:tcPr>
            <w:tcW w:w="1331" w:type="dxa"/>
            <w:tcBorders>
              <w:top w:val="single" w:color="000000" w:sz="4" w:space="0"/>
              <w:left w:val="single" w:color="000000" w:sz="4" w:space="0"/>
              <w:bottom w:val="single" w:color="000000" w:sz="4" w:space="0"/>
              <w:right w:val="single" w:color="000000" w:sz="4" w:space="0"/>
            </w:tcBorders>
            <w:vAlign w:val="center"/>
          </w:tcPr>
          <w:p w14:paraId="784ABDFC">
            <w:pPr>
              <w:overflowPunct w:val="0"/>
              <w:topLinePunct/>
              <w:spacing w:line="360" w:lineRule="auto"/>
              <w:ind w:right="14"/>
              <w:jc w:val="center"/>
              <w:rPr>
                <w:rFonts w:ascii="仿宋" w:hAnsi="仿宋" w:eastAsia="仿宋" w:cs="仿宋"/>
                <w:position w:val="-9"/>
                <w:sz w:val="24"/>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59C9F4E7">
            <w:pPr>
              <w:overflowPunct w:val="0"/>
              <w:topLinePunct/>
              <w:spacing w:line="360" w:lineRule="auto"/>
              <w:ind w:right="14"/>
              <w:jc w:val="center"/>
              <w:rPr>
                <w:rFonts w:ascii="仿宋" w:hAnsi="仿宋" w:eastAsia="仿宋" w:cs="仿宋"/>
                <w:position w:val="-9"/>
                <w:sz w:val="24"/>
              </w:rPr>
            </w:pPr>
          </w:p>
        </w:tc>
        <w:tc>
          <w:tcPr>
            <w:tcW w:w="2551" w:type="dxa"/>
            <w:tcBorders>
              <w:top w:val="single" w:color="000000" w:sz="4" w:space="0"/>
              <w:left w:val="single" w:color="000000" w:sz="4" w:space="0"/>
              <w:bottom w:val="single" w:color="000000" w:sz="4" w:space="0"/>
              <w:right w:val="single" w:color="000000" w:sz="4" w:space="0"/>
            </w:tcBorders>
            <w:vAlign w:val="center"/>
          </w:tcPr>
          <w:p w14:paraId="5DD7BB54">
            <w:pPr>
              <w:overflowPunct w:val="0"/>
              <w:topLinePunct/>
              <w:spacing w:line="360" w:lineRule="auto"/>
              <w:ind w:right="14"/>
              <w:jc w:val="center"/>
              <w:rPr>
                <w:rFonts w:ascii="仿宋" w:hAnsi="仿宋" w:eastAsia="仿宋" w:cs="仿宋"/>
                <w:position w:val="-9"/>
                <w:sz w:val="24"/>
              </w:rPr>
            </w:pPr>
          </w:p>
        </w:tc>
        <w:tc>
          <w:tcPr>
            <w:tcW w:w="1985" w:type="dxa"/>
            <w:tcBorders>
              <w:top w:val="single" w:color="000000" w:sz="4" w:space="0"/>
              <w:left w:val="single" w:color="000000" w:sz="4" w:space="0"/>
              <w:bottom w:val="single" w:color="000000" w:sz="4" w:space="0"/>
              <w:right w:val="single" w:color="000000" w:sz="4" w:space="0"/>
            </w:tcBorders>
            <w:vAlign w:val="center"/>
          </w:tcPr>
          <w:p w14:paraId="4B98DA37">
            <w:pPr>
              <w:overflowPunct w:val="0"/>
              <w:topLinePunct/>
              <w:spacing w:line="360" w:lineRule="auto"/>
              <w:ind w:right="14"/>
              <w:jc w:val="center"/>
              <w:rPr>
                <w:rFonts w:ascii="仿宋" w:hAnsi="仿宋" w:eastAsia="仿宋" w:cs="仿宋"/>
                <w:position w:val="-9"/>
                <w:sz w:val="24"/>
              </w:rPr>
            </w:pPr>
          </w:p>
        </w:tc>
        <w:tc>
          <w:tcPr>
            <w:tcW w:w="1417" w:type="dxa"/>
            <w:tcBorders>
              <w:top w:val="single" w:color="000000" w:sz="4" w:space="0"/>
              <w:left w:val="single" w:color="000000" w:sz="4" w:space="0"/>
              <w:bottom w:val="single" w:color="000000" w:sz="4" w:space="0"/>
              <w:right w:val="single" w:color="000000" w:sz="4" w:space="0"/>
            </w:tcBorders>
            <w:vAlign w:val="center"/>
          </w:tcPr>
          <w:p w14:paraId="5FB0941E">
            <w:pPr>
              <w:overflowPunct w:val="0"/>
              <w:topLinePunct/>
              <w:spacing w:line="360" w:lineRule="auto"/>
              <w:ind w:right="14"/>
              <w:jc w:val="center"/>
              <w:rPr>
                <w:rFonts w:ascii="仿宋" w:hAnsi="仿宋" w:eastAsia="仿宋" w:cs="仿宋"/>
                <w:position w:val="-9"/>
                <w:sz w:val="24"/>
              </w:rPr>
            </w:pPr>
          </w:p>
        </w:tc>
      </w:tr>
      <w:tr w14:paraId="31F0F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04" w:type="dxa"/>
            <w:vMerge w:val="continue"/>
            <w:tcBorders>
              <w:top w:val="single" w:color="000000" w:sz="4" w:space="0"/>
              <w:left w:val="single" w:color="000000" w:sz="4" w:space="0"/>
              <w:bottom w:val="single" w:color="000000" w:sz="4" w:space="0"/>
              <w:right w:val="single" w:color="000000" w:sz="4" w:space="0"/>
            </w:tcBorders>
            <w:vAlign w:val="center"/>
          </w:tcPr>
          <w:p w14:paraId="39E14DE6">
            <w:pPr>
              <w:widowControl/>
              <w:spacing w:line="360" w:lineRule="auto"/>
              <w:jc w:val="left"/>
              <w:rPr>
                <w:rFonts w:ascii="仿宋" w:hAnsi="仿宋" w:eastAsia="仿宋" w:cs="仿宋"/>
                <w:position w:val="-9"/>
                <w:sz w:val="24"/>
              </w:rPr>
            </w:pPr>
          </w:p>
        </w:tc>
        <w:tc>
          <w:tcPr>
            <w:tcW w:w="1331" w:type="dxa"/>
            <w:tcBorders>
              <w:top w:val="single" w:color="000000" w:sz="4" w:space="0"/>
              <w:left w:val="single" w:color="000000" w:sz="4" w:space="0"/>
              <w:bottom w:val="single" w:color="000000" w:sz="4" w:space="0"/>
              <w:right w:val="single" w:color="000000" w:sz="4" w:space="0"/>
            </w:tcBorders>
            <w:vAlign w:val="center"/>
          </w:tcPr>
          <w:p w14:paraId="21514B50">
            <w:pPr>
              <w:overflowPunct w:val="0"/>
              <w:topLinePunct/>
              <w:spacing w:line="360" w:lineRule="auto"/>
              <w:ind w:right="14"/>
              <w:jc w:val="center"/>
              <w:rPr>
                <w:rFonts w:ascii="仿宋" w:hAnsi="仿宋" w:eastAsia="仿宋" w:cs="仿宋"/>
                <w:position w:val="-9"/>
                <w:sz w:val="24"/>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516767FA">
            <w:pPr>
              <w:overflowPunct w:val="0"/>
              <w:topLinePunct/>
              <w:spacing w:line="360" w:lineRule="auto"/>
              <w:ind w:right="14"/>
              <w:jc w:val="center"/>
              <w:rPr>
                <w:rFonts w:ascii="仿宋" w:hAnsi="仿宋" w:eastAsia="仿宋" w:cs="仿宋"/>
                <w:position w:val="-9"/>
                <w:sz w:val="24"/>
              </w:rPr>
            </w:pPr>
          </w:p>
        </w:tc>
        <w:tc>
          <w:tcPr>
            <w:tcW w:w="2551" w:type="dxa"/>
            <w:tcBorders>
              <w:top w:val="single" w:color="000000" w:sz="4" w:space="0"/>
              <w:left w:val="single" w:color="000000" w:sz="4" w:space="0"/>
              <w:bottom w:val="single" w:color="000000" w:sz="4" w:space="0"/>
              <w:right w:val="single" w:color="000000" w:sz="4" w:space="0"/>
            </w:tcBorders>
            <w:vAlign w:val="center"/>
          </w:tcPr>
          <w:p w14:paraId="1A285C9B">
            <w:pPr>
              <w:overflowPunct w:val="0"/>
              <w:topLinePunct/>
              <w:spacing w:line="360" w:lineRule="auto"/>
              <w:ind w:right="14"/>
              <w:jc w:val="center"/>
              <w:rPr>
                <w:rFonts w:ascii="仿宋" w:hAnsi="仿宋" w:eastAsia="仿宋" w:cs="仿宋"/>
                <w:position w:val="-9"/>
                <w:sz w:val="24"/>
              </w:rPr>
            </w:pPr>
          </w:p>
        </w:tc>
        <w:tc>
          <w:tcPr>
            <w:tcW w:w="1985" w:type="dxa"/>
            <w:tcBorders>
              <w:top w:val="single" w:color="000000" w:sz="4" w:space="0"/>
              <w:left w:val="single" w:color="000000" w:sz="4" w:space="0"/>
              <w:bottom w:val="single" w:color="000000" w:sz="4" w:space="0"/>
              <w:right w:val="single" w:color="000000" w:sz="4" w:space="0"/>
            </w:tcBorders>
            <w:vAlign w:val="center"/>
          </w:tcPr>
          <w:p w14:paraId="22AE1DFE">
            <w:pPr>
              <w:overflowPunct w:val="0"/>
              <w:topLinePunct/>
              <w:spacing w:line="360" w:lineRule="auto"/>
              <w:ind w:right="14"/>
              <w:jc w:val="center"/>
              <w:rPr>
                <w:rFonts w:ascii="仿宋" w:hAnsi="仿宋" w:eastAsia="仿宋" w:cs="仿宋"/>
                <w:position w:val="-9"/>
                <w:sz w:val="24"/>
              </w:rPr>
            </w:pPr>
          </w:p>
        </w:tc>
        <w:tc>
          <w:tcPr>
            <w:tcW w:w="1417" w:type="dxa"/>
            <w:tcBorders>
              <w:top w:val="single" w:color="000000" w:sz="4" w:space="0"/>
              <w:left w:val="single" w:color="000000" w:sz="4" w:space="0"/>
              <w:bottom w:val="single" w:color="000000" w:sz="4" w:space="0"/>
              <w:right w:val="single" w:color="000000" w:sz="4" w:space="0"/>
            </w:tcBorders>
            <w:vAlign w:val="center"/>
          </w:tcPr>
          <w:p w14:paraId="5228ED1F">
            <w:pPr>
              <w:overflowPunct w:val="0"/>
              <w:topLinePunct/>
              <w:spacing w:line="360" w:lineRule="auto"/>
              <w:ind w:right="14"/>
              <w:jc w:val="center"/>
              <w:rPr>
                <w:rFonts w:ascii="仿宋" w:hAnsi="仿宋" w:eastAsia="仿宋" w:cs="仿宋"/>
                <w:position w:val="-9"/>
                <w:sz w:val="24"/>
              </w:rPr>
            </w:pPr>
          </w:p>
        </w:tc>
      </w:tr>
    </w:tbl>
    <w:p w14:paraId="5CE5352C">
      <w:pPr>
        <w:spacing w:line="360" w:lineRule="auto"/>
        <w:ind w:firstLine="160" w:firstLineChars="67"/>
        <w:rPr>
          <w:rFonts w:ascii="仿宋" w:hAnsi="仿宋" w:eastAsia="仿宋" w:cs="仿宋"/>
          <w:sz w:val="24"/>
        </w:rPr>
      </w:pPr>
      <w:r>
        <w:rPr>
          <w:rFonts w:hint="eastAsia" w:ascii="宋体" w:hAnsi="宋体" w:cs="仿宋"/>
          <w:sz w:val="24"/>
        </w:rPr>
        <w:t>注：若无商务</w:t>
      </w:r>
      <w:r>
        <w:rPr>
          <w:rFonts w:hint="eastAsia" w:cs="仿宋"/>
          <w:sz w:val="24"/>
        </w:rPr>
        <w:t>或技术</w:t>
      </w:r>
      <w:r>
        <w:rPr>
          <w:rFonts w:hint="eastAsia" w:ascii="宋体" w:hAnsi="宋体" w:cs="仿宋"/>
          <w:sz w:val="24"/>
        </w:rPr>
        <w:t>偏差，本表可不填。</w:t>
      </w:r>
    </w:p>
    <w:p w14:paraId="651B9DBA">
      <w:pPr>
        <w:spacing w:line="360" w:lineRule="auto"/>
        <w:ind w:firstLine="4560" w:firstLineChars="1900"/>
        <w:rPr>
          <w:rFonts w:ascii="宋体" w:hAnsi="宋体" w:eastAsia="宋体" w:cs="仿宋"/>
          <w:sz w:val="24"/>
        </w:rPr>
      </w:pPr>
      <w:r>
        <w:rPr>
          <w:rFonts w:hint="eastAsia" w:eastAsia="宋体" w:cs="仿宋"/>
          <w:sz w:val="24"/>
        </w:rPr>
        <w:t>投标人</w:t>
      </w:r>
      <w:r>
        <w:rPr>
          <w:rFonts w:hint="eastAsia" w:ascii="宋体" w:hAnsi="宋体" w:eastAsia="宋体" w:cs="仿宋"/>
          <w:sz w:val="24"/>
        </w:rPr>
        <w:t>：（盖单位章）</w:t>
      </w:r>
    </w:p>
    <w:p w14:paraId="0208042D">
      <w:pPr>
        <w:spacing w:line="360" w:lineRule="auto"/>
        <w:ind w:firstLine="4560" w:firstLineChars="1900"/>
        <w:rPr>
          <w:rFonts w:ascii="宋体" w:hAnsi="宋体" w:eastAsia="宋体" w:cs="仿宋"/>
          <w:sz w:val="24"/>
        </w:rPr>
      </w:pPr>
      <w:r>
        <w:rPr>
          <w:rFonts w:hint="eastAsia" w:ascii="宋体" w:hAnsi="宋体" w:eastAsia="宋体" w:cs="仿宋"/>
          <w:sz w:val="24"/>
        </w:rPr>
        <w:t>法定代表人或其委托代理人：（签字）</w:t>
      </w:r>
    </w:p>
    <w:p w14:paraId="331C2373">
      <w:pPr>
        <w:spacing w:line="360" w:lineRule="auto"/>
        <w:ind w:firstLine="6480" w:firstLineChars="2700"/>
        <w:rPr>
          <w:rFonts w:ascii="宋体" w:hAnsi="宋体" w:eastAsia="宋体" w:cs="仿宋"/>
          <w:sz w:val="24"/>
        </w:rPr>
      </w:pPr>
      <w:r>
        <w:rPr>
          <w:rFonts w:hint="eastAsia" w:ascii="宋体" w:hAnsi="宋体" w:eastAsia="宋体" w:cs="仿宋"/>
          <w:sz w:val="24"/>
        </w:rPr>
        <w:t>年   月   日</w:t>
      </w:r>
    </w:p>
    <w:p w14:paraId="07F4FD6E">
      <w:pPr>
        <w:spacing w:line="360" w:lineRule="auto"/>
        <w:ind w:firstLine="420" w:firstLineChars="200"/>
        <w:jc w:val="center"/>
        <w:rPr>
          <w:rFonts w:ascii="宋体" w:hAnsi="宋体" w:cs="仿宋"/>
          <w:b/>
          <w:bCs/>
          <w:sz w:val="24"/>
        </w:rPr>
      </w:pPr>
      <w:r>
        <w:rPr>
          <w:rFonts w:hint="eastAsia" w:ascii="Times New Roman" w:hAnsi="Times New Roman"/>
          <w:color w:val="000000"/>
          <w:szCs w:val="21"/>
        </w:rPr>
        <w:br w:type="page"/>
      </w:r>
      <w:r>
        <w:rPr>
          <w:rFonts w:hint="eastAsia" w:ascii="宋体" w:hAnsi="宋体" w:cs="仿宋"/>
          <w:b/>
          <w:bCs/>
          <w:sz w:val="24"/>
        </w:rPr>
        <w:t>7.投标人认为应补充的其它资料</w:t>
      </w:r>
    </w:p>
    <w:p w14:paraId="0D5318FD">
      <w:pPr>
        <w:rPr>
          <w:rFonts w:ascii="Times New Roman" w:hAnsi="Times New Roman"/>
          <w:color w:val="000000"/>
          <w:szCs w:val="21"/>
        </w:rPr>
      </w:pPr>
      <w:r>
        <w:rPr>
          <w:rFonts w:hint="eastAsia" w:ascii="Times New Roman" w:hAnsi="Times New Roman"/>
          <w:color w:val="000000"/>
          <w:szCs w:val="21"/>
        </w:rPr>
        <w:br w:type="page"/>
      </w:r>
    </w:p>
    <w:p w14:paraId="4128BD06">
      <w:pPr>
        <w:rPr>
          <w:rFonts w:ascii="Times New Roman" w:hAnsi="Times New Roman"/>
          <w:color w:val="000000"/>
          <w:szCs w:val="21"/>
        </w:rPr>
      </w:pPr>
    </w:p>
    <w:p w14:paraId="26261364">
      <w:pPr>
        <w:autoSpaceDE w:val="0"/>
        <w:autoSpaceDN w:val="0"/>
        <w:adjustRightInd w:val="0"/>
        <w:spacing w:line="300" w:lineRule="auto"/>
        <w:jc w:val="left"/>
        <w:rPr>
          <w:rFonts w:ascii="Times New Roman" w:hAnsi="Times New Roman" w:eastAsia="黑体"/>
          <w:color w:val="000000"/>
          <w:kern w:val="0"/>
          <w:sz w:val="24"/>
          <w:shd w:val="clear" w:color="auto" w:fill="FFFFFF"/>
        </w:rPr>
      </w:pPr>
    </w:p>
    <w:p w14:paraId="5231C8FC">
      <w:pPr>
        <w:autoSpaceDE w:val="0"/>
        <w:autoSpaceDN w:val="0"/>
        <w:adjustRightInd w:val="0"/>
        <w:spacing w:line="300" w:lineRule="auto"/>
        <w:ind w:firstLine="6160" w:firstLineChars="1400"/>
        <w:jc w:val="right"/>
        <w:rPr>
          <w:rFonts w:ascii="Times New Roman" w:hAnsi="Times New Roman" w:eastAsia="黑体"/>
          <w:color w:val="000000"/>
          <w:kern w:val="0"/>
          <w:sz w:val="44"/>
          <w:szCs w:val="44"/>
        </w:rPr>
      </w:pPr>
      <w:r>
        <w:rPr>
          <w:rFonts w:ascii="Times New Roman" w:hAnsi="Times New Roman" w:eastAsia="黑体"/>
          <w:color w:val="000000"/>
          <w:kern w:val="0"/>
          <w:sz w:val="44"/>
          <w:szCs w:val="44"/>
          <w:bdr w:val="single" w:color="auto" w:sz="4" w:space="0"/>
        </w:rPr>
        <w:t>正本/副本</w:t>
      </w:r>
    </w:p>
    <w:p w14:paraId="5AF83A5F">
      <w:pPr>
        <w:spacing w:line="300" w:lineRule="auto"/>
        <w:rPr>
          <w:rFonts w:ascii="Times New Roman" w:hAnsi="Times New Roman"/>
          <w:color w:val="000000"/>
          <w:szCs w:val="21"/>
        </w:rPr>
      </w:pPr>
    </w:p>
    <w:p w14:paraId="7FE42BA5">
      <w:pPr>
        <w:spacing w:line="300" w:lineRule="auto"/>
        <w:jc w:val="center"/>
        <w:rPr>
          <w:rFonts w:ascii="Times New Roman" w:hAnsi="Times New Roman" w:eastAsia="黑体"/>
          <w:color w:val="000000"/>
          <w:sz w:val="36"/>
          <w:szCs w:val="36"/>
        </w:rPr>
      </w:pPr>
      <w:r>
        <w:rPr>
          <w:rFonts w:ascii="Times New Roman" w:hAnsi="Times New Roman" w:eastAsia="黑体"/>
          <w:color w:val="000000"/>
          <w:sz w:val="36"/>
          <w:szCs w:val="36"/>
          <w:u w:val="single"/>
        </w:rPr>
        <w:t xml:space="preserve">                      </w:t>
      </w:r>
      <w:r>
        <w:rPr>
          <w:rFonts w:ascii="Times New Roman" w:hAnsi="Times New Roman" w:eastAsia="黑体"/>
          <w:color w:val="000000"/>
          <w:sz w:val="36"/>
          <w:szCs w:val="36"/>
        </w:rPr>
        <w:t>（项目名称）施工招标</w:t>
      </w:r>
    </w:p>
    <w:p w14:paraId="6F6B50AD">
      <w:pPr>
        <w:spacing w:line="300" w:lineRule="auto"/>
        <w:rPr>
          <w:rFonts w:ascii="Times New Roman" w:hAnsi="Times New Roman"/>
          <w:b/>
          <w:color w:val="000000"/>
          <w:szCs w:val="21"/>
        </w:rPr>
      </w:pPr>
    </w:p>
    <w:p w14:paraId="0302E0E2">
      <w:pPr>
        <w:spacing w:line="300" w:lineRule="auto"/>
        <w:jc w:val="center"/>
        <w:rPr>
          <w:rFonts w:ascii="Times New Roman" w:hAnsi="Times New Roman"/>
          <w:b/>
          <w:color w:val="000000"/>
          <w:szCs w:val="21"/>
        </w:rPr>
      </w:pPr>
    </w:p>
    <w:p w14:paraId="2079DE19">
      <w:pPr>
        <w:spacing w:line="300" w:lineRule="auto"/>
        <w:rPr>
          <w:rFonts w:ascii="Times New Roman" w:hAnsi="Times New Roman"/>
          <w:b/>
          <w:color w:val="000000"/>
          <w:szCs w:val="21"/>
        </w:rPr>
      </w:pPr>
    </w:p>
    <w:p w14:paraId="7E4A2E10">
      <w:pPr>
        <w:spacing w:line="300" w:lineRule="auto"/>
        <w:rPr>
          <w:rFonts w:ascii="Times New Roman" w:hAnsi="Times New Roman"/>
          <w:b/>
          <w:color w:val="000000"/>
          <w:szCs w:val="21"/>
        </w:rPr>
      </w:pPr>
    </w:p>
    <w:p w14:paraId="7ED60981">
      <w:pPr>
        <w:spacing w:line="300" w:lineRule="auto"/>
        <w:rPr>
          <w:rFonts w:ascii="Times New Roman" w:hAnsi="Times New Roman"/>
          <w:b/>
          <w:color w:val="000000"/>
          <w:szCs w:val="21"/>
        </w:rPr>
      </w:pPr>
    </w:p>
    <w:p w14:paraId="74379711">
      <w:pPr>
        <w:spacing w:line="300" w:lineRule="auto"/>
        <w:rPr>
          <w:rFonts w:ascii="Times New Roman" w:hAnsi="Times New Roman"/>
          <w:b/>
          <w:color w:val="000000"/>
          <w:szCs w:val="21"/>
        </w:rPr>
      </w:pPr>
    </w:p>
    <w:p w14:paraId="13AB5519">
      <w:pPr>
        <w:spacing w:line="300" w:lineRule="auto"/>
        <w:jc w:val="center"/>
        <w:rPr>
          <w:rFonts w:ascii="Times New Roman" w:hAnsi="Times New Roman" w:eastAsia="黑体"/>
          <w:color w:val="000000"/>
          <w:sz w:val="72"/>
          <w:szCs w:val="72"/>
        </w:rPr>
      </w:pPr>
      <w:r>
        <w:rPr>
          <w:rFonts w:hint="eastAsia" w:ascii="Times New Roman" w:hAnsi="Times New Roman" w:eastAsia="黑体"/>
          <w:color w:val="000000"/>
          <w:sz w:val="72"/>
          <w:szCs w:val="72"/>
        </w:rPr>
        <w:t xml:space="preserve">B 包 </w:t>
      </w:r>
      <w:r>
        <w:rPr>
          <w:rFonts w:ascii="Times New Roman" w:hAnsi="Times New Roman" w:eastAsia="黑体"/>
          <w:color w:val="000000"/>
          <w:sz w:val="72"/>
          <w:szCs w:val="72"/>
        </w:rPr>
        <w:t>投 标 文 件</w:t>
      </w:r>
    </w:p>
    <w:p w14:paraId="2EEC658B">
      <w:pPr>
        <w:spacing w:line="300" w:lineRule="auto"/>
        <w:rPr>
          <w:rFonts w:ascii="Times New Roman" w:hAnsi="Times New Roman"/>
          <w:b/>
          <w:color w:val="000000"/>
          <w:szCs w:val="21"/>
        </w:rPr>
      </w:pPr>
    </w:p>
    <w:p w14:paraId="3E004795">
      <w:pPr>
        <w:spacing w:line="300" w:lineRule="auto"/>
        <w:rPr>
          <w:rFonts w:ascii="Times New Roman" w:hAnsi="Times New Roman"/>
          <w:color w:val="000000"/>
          <w:szCs w:val="21"/>
        </w:rPr>
      </w:pPr>
    </w:p>
    <w:p w14:paraId="2BC700E9">
      <w:pPr>
        <w:spacing w:line="300" w:lineRule="auto"/>
        <w:rPr>
          <w:rFonts w:ascii="Times New Roman" w:hAnsi="Times New Roman"/>
          <w:color w:val="000000"/>
          <w:szCs w:val="21"/>
        </w:rPr>
      </w:pPr>
    </w:p>
    <w:p w14:paraId="0C7AC60F">
      <w:pPr>
        <w:spacing w:line="300" w:lineRule="auto"/>
        <w:rPr>
          <w:rFonts w:ascii="Times New Roman" w:hAnsi="Times New Roman"/>
          <w:color w:val="000000"/>
          <w:szCs w:val="21"/>
        </w:rPr>
      </w:pPr>
    </w:p>
    <w:p w14:paraId="5D0CF800">
      <w:pPr>
        <w:spacing w:line="300" w:lineRule="auto"/>
        <w:rPr>
          <w:rFonts w:ascii="Times New Roman" w:hAnsi="Times New Roman"/>
          <w:color w:val="000000"/>
          <w:szCs w:val="21"/>
        </w:rPr>
      </w:pPr>
    </w:p>
    <w:p w14:paraId="55930DF0">
      <w:pPr>
        <w:spacing w:line="300" w:lineRule="auto"/>
        <w:rPr>
          <w:rFonts w:ascii="Times New Roman" w:hAnsi="Times New Roman"/>
          <w:color w:val="000000"/>
          <w:szCs w:val="21"/>
        </w:rPr>
      </w:pPr>
    </w:p>
    <w:p w14:paraId="058A8649">
      <w:pPr>
        <w:spacing w:line="300" w:lineRule="auto"/>
        <w:rPr>
          <w:rFonts w:ascii="Times New Roman" w:hAnsi="Times New Roman"/>
          <w:color w:val="000000"/>
          <w:szCs w:val="21"/>
        </w:rPr>
      </w:pPr>
    </w:p>
    <w:p w14:paraId="2E4E46AF">
      <w:pPr>
        <w:spacing w:line="300" w:lineRule="auto"/>
        <w:rPr>
          <w:rFonts w:ascii="Times New Roman" w:hAnsi="Times New Roman"/>
          <w:color w:val="000000"/>
          <w:szCs w:val="21"/>
        </w:rPr>
      </w:pPr>
    </w:p>
    <w:p w14:paraId="0BFA68D7">
      <w:pPr>
        <w:spacing w:line="300" w:lineRule="auto"/>
        <w:ind w:firstLine="140" w:firstLineChars="50"/>
        <w:rPr>
          <w:rFonts w:ascii="Times New Roman" w:hAnsi="Times New Roman" w:eastAsia="黑体"/>
          <w:color w:val="000000"/>
          <w:sz w:val="28"/>
          <w:szCs w:val="28"/>
          <w:u w:val="single"/>
        </w:rPr>
      </w:pPr>
      <w:r>
        <w:rPr>
          <w:rFonts w:ascii="Times New Roman" w:hAnsi="Times New Roman" w:eastAsia="黑体"/>
          <w:color w:val="000000"/>
          <w:sz w:val="28"/>
          <w:szCs w:val="28"/>
        </w:rPr>
        <w:t>投标人：</w:t>
      </w: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（盖单位公章）</w:t>
      </w:r>
    </w:p>
    <w:p w14:paraId="2094BB9A">
      <w:pPr>
        <w:spacing w:line="300" w:lineRule="auto"/>
        <w:jc w:val="center"/>
        <w:rPr>
          <w:rFonts w:ascii="Times New Roman" w:hAnsi="Times New Roman" w:eastAsia="黑体"/>
          <w:color w:val="000000"/>
          <w:sz w:val="28"/>
          <w:szCs w:val="28"/>
        </w:rPr>
      </w:pPr>
      <w:r>
        <w:rPr>
          <w:rFonts w:ascii="Times New Roman" w:hAnsi="Times New Roman" w:eastAsia="黑体"/>
          <w:color w:val="000000"/>
          <w:sz w:val="28"/>
          <w:szCs w:val="28"/>
        </w:rPr>
        <w:t>法定代表人或其委托代理人：</w:t>
      </w: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（签字或盖章）</w:t>
      </w:r>
    </w:p>
    <w:p w14:paraId="04EDBEF8">
      <w:pPr>
        <w:spacing w:line="300" w:lineRule="auto"/>
        <w:jc w:val="center"/>
        <w:rPr>
          <w:rFonts w:ascii="Times New Roman" w:hAnsi="Times New Roman" w:eastAsia="黑体"/>
          <w:color w:val="000000"/>
          <w:sz w:val="28"/>
          <w:szCs w:val="28"/>
          <w:u w:val="single"/>
        </w:rPr>
      </w:pPr>
    </w:p>
    <w:p w14:paraId="1B1083AE">
      <w:pPr>
        <w:spacing w:line="300" w:lineRule="auto"/>
        <w:jc w:val="center"/>
        <w:rPr>
          <w:rFonts w:ascii="Times New Roman" w:hAnsi="Times New Roman" w:eastAsia="黑体"/>
          <w:color w:val="000000"/>
          <w:sz w:val="28"/>
          <w:szCs w:val="28"/>
        </w:rPr>
        <w:sectPr>
          <w:pgSz w:w="11906" w:h="16838"/>
          <w:pgMar w:top="1418" w:right="1644" w:bottom="1247" w:left="1644" w:header="851" w:footer="992" w:gutter="0"/>
          <w:cols w:space="720" w:num="1"/>
          <w:docGrid w:type="lines" w:linePitch="312" w:charSpace="0"/>
        </w:sectPr>
      </w:pP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 xml:space="preserve">年 </w:t>
      </w: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 xml:space="preserve"> 月  </w:t>
      </w:r>
      <w:r>
        <w:rPr>
          <w:rFonts w:ascii="Times New Roman" w:hAnsi="Times New Roman" w:eastAsia="黑体"/>
          <w:color w:val="000000"/>
          <w:sz w:val="28"/>
          <w:szCs w:val="28"/>
          <w:u w:val="single"/>
        </w:rPr>
        <w:t xml:space="preserve">    </w:t>
      </w:r>
      <w:r>
        <w:rPr>
          <w:rFonts w:ascii="Times New Roman" w:hAnsi="Times New Roman" w:eastAsia="黑体"/>
          <w:color w:val="000000"/>
          <w:sz w:val="28"/>
          <w:szCs w:val="28"/>
        </w:rPr>
        <w:t>日</w:t>
      </w:r>
    </w:p>
    <w:p w14:paraId="0615AB36">
      <w:pPr>
        <w:pStyle w:val="3"/>
        <w:spacing w:before="0" w:after="0" w:line="300" w:lineRule="auto"/>
        <w:jc w:val="center"/>
        <w:rPr>
          <w:rFonts w:ascii="Times New Roman" w:hAnsi="Times New Roman"/>
          <w:color w:val="000000"/>
        </w:rPr>
      </w:pPr>
      <w:bookmarkStart w:id="678" w:name="_Toc246996355"/>
      <w:bookmarkStart w:id="679" w:name="_Toc296602601"/>
      <w:bookmarkStart w:id="680" w:name="_Toc246997098"/>
      <w:bookmarkStart w:id="681" w:name="_Toc26357"/>
      <w:bookmarkStart w:id="682" w:name="_Toc29962"/>
      <w:bookmarkStart w:id="683" w:name="_Toc7818"/>
      <w:bookmarkStart w:id="684" w:name="_Toc247085873"/>
      <w:bookmarkStart w:id="685" w:name="_Toc179632807"/>
      <w:r>
        <w:rPr>
          <w:rFonts w:ascii="Times New Roman" w:hAnsi="Times New Roman"/>
          <w:color w:val="000000"/>
        </w:rPr>
        <w:t>目    录</w:t>
      </w:r>
      <w:bookmarkEnd w:id="678"/>
      <w:bookmarkEnd w:id="679"/>
      <w:bookmarkEnd w:id="680"/>
      <w:bookmarkEnd w:id="681"/>
      <w:bookmarkEnd w:id="682"/>
      <w:bookmarkEnd w:id="683"/>
      <w:bookmarkEnd w:id="684"/>
      <w:bookmarkEnd w:id="685"/>
    </w:p>
    <w:p w14:paraId="0855E2D4">
      <w:pPr>
        <w:spacing w:line="300" w:lineRule="auto"/>
        <w:rPr>
          <w:rFonts w:ascii="Times New Roman" w:hAnsi="Times New Roman"/>
          <w:color w:val="000000"/>
        </w:rPr>
      </w:pPr>
    </w:p>
    <w:p w14:paraId="61EB98EF">
      <w:pPr>
        <w:spacing w:line="300" w:lineRule="auto"/>
        <w:rPr>
          <w:rFonts w:ascii="Times New Roman" w:hAnsi="Times New Roman"/>
          <w:color w:val="000000"/>
          <w:sz w:val="24"/>
        </w:rPr>
      </w:pPr>
      <w:r>
        <w:rPr>
          <w:rFonts w:ascii="Times New Roman" w:hAnsi="Times New Roman"/>
          <w:color w:val="000000"/>
          <w:sz w:val="24"/>
        </w:rPr>
        <w:t>一、投标书格式</w:t>
      </w:r>
    </w:p>
    <w:p w14:paraId="2656F253">
      <w:pPr>
        <w:spacing w:line="300" w:lineRule="auto"/>
        <w:rPr>
          <w:rFonts w:ascii="Times New Roman" w:hAnsi="Times New Roman"/>
          <w:color w:val="000000"/>
          <w:sz w:val="24"/>
        </w:rPr>
      </w:pPr>
      <w:r>
        <w:rPr>
          <w:rFonts w:ascii="Times New Roman" w:hAnsi="Times New Roman"/>
          <w:color w:val="000000"/>
          <w:sz w:val="24"/>
        </w:rPr>
        <w:t>（1）投标函及投标函附录；</w:t>
      </w:r>
    </w:p>
    <w:p w14:paraId="709B2A66">
      <w:pPr>
        <w:spacing w:line="300" w:lineRule="auto"/>
        <w:rPr>
          <w:rFonts w:ascii="Times New Roman" w:hAnsi="Times New Roman"/>
          <w:color w:val="000000"/>
          <w:sz w:val="24"/>
        </w:rPr>
      </w:pPr>
      <w:r>
        <w:rPr>
          <w:rFonts w:ascii="Times New Roman" w:hAnsi="Times New Roman"/>
          <w:color w:val="000000"/>
          <w:sz w:val="24"/>
        </w:rPr>
        <w:t>（2）法人身份证明或授权代表授权委托书；</w:t>
      </w:r>
    </w:p>
    <w:p w14:paraId="0A3FCDF2">
      <w:pPr>
        <w:spacing w:line="360" w:lineRule="auto"/>
        <w:rPr>
          <w:rFonts w:ascii="Times New Roman" w:hAnsi="Times New Roman"/>
          <w:color w:val="000000"/>
          <w:sz w:val="24"/>
        </w:rPr>
      </w:pPr>
      <w:r>
        <w:rPr>
          <w:rFonts w:ascii="Times New Roman" w:hAnsi="Times New Roman"/>
          <w:color w:val="000000"/>
          <w:sz w:val="24"/>
        </w:rPr>
        <w:t>（3）开标一览表；</w:t>
      </w:r>
    </w:p>
    <w:p w14:paraId="748714D4">
      <w:pPr>
        <w:spacing w:line="360" w:lineRule="auto"/>
        <w:rPr>
          <w:rFonts w:eastAsia="黑体"/>
        </w:rPr>
      </w:pPr>
      <w:r>
        <w:rPr>
          <w:rFonts w:hint="eastAsia" w:ascii="Times New Roman" w:hAnsi="Times New Roman"/>
          <w:color w:val="000000"/>
          <w:sz w:val="24"/>
        </w:rPr>
        <w:t>（4）</w:t>
      </w:r>
      <w:r>
        <w:rPr>
          <w:rFonts w:ascii="Times New Roman" w:hAnsi="Times New Roman"/>
          <w:color w:val="000000"/>
          <w:sz w:val="24"/>
        </w:rPr>
        <w:t>投标保证金</w:t>
      </w:r>
    </w:p>
    <w:p w14:paraId="70664907">
      <w:pPr>
        <w:spacing w:line="360" w:lineRule="auto"/>
      </w:pPr>
      <w:r>
        <w:rPr>
          <w:rFonts w:ascii="Times New Roman" w:hAnsi="Times New Roman"/>
          <w:color w:val="000000"/>
          <w:sz w:val="24"/>
        </w:rPr>
        <w:t>（</w:t>
      </w:r>
      <w:r>
        <w:rPr>
          <w:rFonts w:hint="eastAsia" w:ascii="Times New Roman" w:hAnsi="Times New Roman"/>
          <w:color w:val="000000"/>
          <w:sz w:val="24"/>
        </w:rPr>
        <w:t>5</w:t>
      </w:r>
      <w:r>
        <w:rPr>
          <w:rFonts w:ascii="Times New Roman" w:hAnsi="Times New Roman"/>
          <w:color w:val="000000"/>
          <w:sz w:val="24"/>
        </w:rPr>
        <w:t>）</w:t>
      </w:r>
      <w:r>
        <w:rPr>
          <w:rFonts w:hint="eastAsia" w:ascii="Times New Roman" w:hAnsi="Times New Roman"/>
          <w:color w:val="000000"/>
          <w:sz w:val="24"/>
        </w:rPr>
        <w:t>工程量清单</w:t>
      </w:r>
      <w:r>
        <w:rPr>
          <w:rFonts w:ascii="Times New Roman" w:hAnsi="Times New Roman"/>
          <w:color w:val="000000"/>
          <w:sz w:val="24"/>
        </w:rPr>
        <w:t>；</w:t>
      </w:r>
    </w:p>
    <w:p w14:paraId="660B5559">
      <w:pPr>
        <w:spacing w:line="300" w:lineRule="auto"/>
        <w:rPr>
          <w:rFonts w:ascii="Times New Roman" w:hAnsi="Times New Roman"/>
          <w:color w:val="000000"/>
          <w:sz w:val="24"/>
        </w:rPr>
      </w:pPr>
      <w:r>
        <w:rPr>
          <w:rFonts w:ascii="Times New Roman" w:hAnsi="Times New Roman"/>
          <w:color w:val="000000"/>
          <w:sz w:val="24"/>
        </w:rPr>
        <w:t>二、投标书技术</w:t>
      </w:r>
      <w:r>
        <w:rPr>
          <w:rFonts w:hint="eastAsia" w:ascii="Times New Roman" w:hAnsi="Times New Roman"/>
          <w:color w:val="000000"/>
          <w:sz w:val="24"/>
        </w:rPr>
        <w:t>标</w:t>
      </w:r>
      <w:r>
        <w:rPr>
          <w:rFonts w:ascii="Times New Roman" w:hAnsi="Times New Roman"/>
          <w:color w:val="000000"/>
          <w:sz w:val="24"/>
        </w:rPr>
        <w:t>格式</w:t>
      </w:r>
    </w:p>
    <w:p w14:paraId="5BD617C3">
      <w:pPr>
        <w:spacing w:line="300" w:lineRule="auto"/>
        <w:rPr>
          <w:rFonts w:ascii="Times New Roman" w:hAnsi="Times New Roman"/>
          <w:color w:val="000000"/>
          <w:sz w:val="24"/>
        </w:rPr>
      </w:pPr>
      <w:r>
        <w:rPr>
          <w:rFonts w:ascii="Times New Roman" w:hAnsi="Times New Roman"/>
          <w:color w:val="000000"/>
          <w:sz w:val="24"/>
        </w:rPr>
        <w:t>（1）施工组织设计；</w:t>
      </w:r>
    </w:p>
    <w:p w14:paraId="2D070AE4">
      <w:pPr>
        <w:spacing w:line="300" w:lineRule="auto"/>
        <w:rPr>
          <w:rFonts w:ascii="Times New Roman" w:hAnsi="Times New Roman"/>
          <w:color w:val="000000"/>
          <w:sz w:val="24"/>
        </w:rPr>
      </w:pPr>
      <w:r>
        <w:rPr>
          <w:rFonts w:ascii="Times New Roman" w:hAnsi="Times New Roman"/>
          <w:color w:val="000000"/>
          <w:sz w:val="24"/>
        </w:rPr>
        <w:t>（2）项目管理机构；</w:t>
      </w:r>
    </w:p>
    <w:p w14:paraId="0F9DEACD">
      <w:pPr>
        <w:spacing w:line="300" w:lineRule="auto"/>
        <w:rPr>
          <w:rFonts w:ascii="Times New Roman" w:hAnsi="Times New Roman"/>
          <w:color w:val="000000"/>
          <w:sz w:val="24"/>
        </w:rPr>
      </w:pPr>
      <w:r>
        <w:rPr>
          <w:rFonts w:ascii="Times New Roman" w:hAnsi="Times New Roman"/>
          <w:color w:val="000000"/>
          <w:sz w:val="24"/>
        </w:rPr>
        <w:t>三、资格审查文件；</w:t>
      </w:r>
    </w:p>
    <w:p w14:paraId="3845834E">
      <w:pPr>
        <w:spacing w:line="300" w:lineRule="auto"/>
        <w:rPr>
          <w:rFonts w:ascii="Times New Roman" w:hAnsi="Times New Roman"/>
          <w:color w:val="000000"/>
          <w:sz w:val="24"/>
        </w:rPr>
      </w:pPr>
      <w:r>
        <w:rPr>
          <w:rFonts w:ascii="Times New Roman" w:hAnsi="Times New Roman"/>
          <w:color w:val="000000"/>
          <w:sz w:val="24"/>
        </w:rPr>
        <w:t>四、其他</w:t>
      </w:r>
      <w:r>
        <w:rPr>
          <w:rFonts w:hint="eastAsia" w:ascii="Times New Roman" w:hAnsi="Times New Roman"/>
          <w:color w:val="000000"/>
          <w:sz w:val="24"/>
        </w:rPr>
        <w:t>补充</w:t>
      </w:r>
      <w:r>
        <w:rPr>
          <w:rFonts w:ascii="Times New Roman" w:hAnsi="Times New Roman"/>
          <w:color w:val="000000"/>
          <w:sz w:val="24"/>
        </w:rPr>
        <w:t>材料。</w:t>
      </w:r>
      <w:bookmarkStart w:id="686" w:name="_Toc246996356"/>
      <w:bookmarkStart w:id="687" w:name="_Toc246997099"/>
      <w:bookmarkStart w:id="688" w:name="_Toc152045788"/>
      <w:bookmarkStart w:id="689" w:name="_Toc144974857"/>
      <w:bookmarkStart w:id="690" w:name="_Toc247085874"/>
      <w:bookmarkStart w:id="691" w:name="_Toc296602602"/>
      <w:bookmarkStart w:id="692" w:name="_Toc152042577"/>
    </w:p>
    <w:p w14:paraId="5DCB1017">
      <w:pPr>
        <w:spacing w:line="300" w:lineRule="auto"/>
        <w:jc w:val="center"/>
        <w:rPr>
          <w:rFonts w:ascii="Times New Roman" w:hAnsi="Times New Roman"/>
          <w:b/>
          <w:color w:val="000000"/>
        </w:rPr>
      </w:pPr>
      <w:r>
        <w:rPr>
          <w:rFonts w:ascii="Times New Roman" w:hAnsi="Times New Roman"/>
          <w:b/>
          <w:color w:val="000000"/>
        </w:rPr>
        <w:br w:type="page"/>
      </w:r>
    </w:p>
    <w:p w14:paraId="52352A81">
      <w:pPr>
        <w:spacing w:line="300" w:lineRule="auto"/>
        <w:jc w:val="center"/>
        <w:rPr>
          <w:rFonts w:ascii="Times New Roman" w:hAnsi="Times New Roman"/>
          <w:b/>
          <w:bCs/>
          <w:color w:val="000000"/>
          <w:sz w:val="32"/>
          <w:szCs w:val="32"/>
        </w:rPr>
      </w:pPr>
      <w:r>
        <w:rPr>
          <w:rFonts w:ascii="Times New Roman" w:hAnsi="Times New Roman"/>
          <w:b/>
          <w:bCs/>
          <w:color w:val="000000"/>
          <w:sz w:val="32"/>
          <w:szCs w:val="32"/>
        </w:rPr>
        <w:t>一、</w:t>
      </w:r>
      <w:bookmarkEnd w:id="686"/>
      <w:bookmarkEnd w:id="687"/>
      <w:bookmarkEnd w:id="688"/>
      <w:bookmarkEnd w:id="689"/>
      <w:bookmarkEnd w:id="690"/>
      <w:bookmarkEnd w:id="691"/>
      <w:bookmarkEnd w:id="692"/>
      <w:r>
        <w:rPr>
          <w:rFonts w:ascii="Times New Roman" w:hAnsi="Times New Roman"/>
          <w:b/>
          <w:bCs/>
          <w:color w:val="000000"/>
          <w:sz w:val="32"/>
          <w:szCs w:val="32"/>
        </w:rPr>
        <w:t>投标函及投标函附录</w:t>
      </w:r>
    </w:p>
    <w:p w14:paraId="5CAC8322">
      <w:pPr>
        <w:pStyle w:val="4"/>
        <w:spacing w:before="0" w:after="0" w:line="300" w:lineRule="auto"/>
        <w:jc w:val="center"/>
        <w:rPr>
          <w:color w:val="000000"/>
        </w:rPr>
      </w:pPr>
      <w:bookmarkStart w:id="693" w:name="_Toc144974858"/>
      <w:bookmarkStart w:id="694" w:name="_Toc8882"/>
      <w:bookmarkStart w:id="695" w:name="_Toc246997100"/>
      <w:bookmarkStart w:id="696" w:name="_Toc152042578"/>
      <w:bookmarkStart w:id="697" w:name="_Toc12984"/>
      <w:bookmarkStart w:id="698" w:name="_Toc296602603"/>
      <w:bookmarkStart w:id="699" w:name="_Toc3681"/>
      <w:bookmarkStart w:id="700" w:name="_Toc246996357"/>
      <w:bookmarkStart w:id="701" w:name="_Toc247085875"/>
      <w:bookmarkStart w:id="702" w:name="_Toc152045789"/>
      <w:r>
        <w:rPr>
          <w:color w:val="000000"/>
        </w:rPr>
        <w:t>（一）投标函</w:t>
      </w:r>
      <w:bookmarkEnd w:id="693"/>
      <w:bookmarkEnd w:id="694"/>
      <w:bookmarkEnd w:id="695"/>
      <w:bookmarkEnd w:id="696"/>
      <w:bookmarkEnd w:id="697"/>
      <w:bookmarkEnd w:id="698"/>
      <w:bookmarkEnd w:id="699"/>
      <w:bookmarkEnd w:id="700"/>
      <w:bookmarkEnd w:id="701"/>
      <w:bookmarkEnd w:id="702"/>
    </w:p>
    <w:p w14:paraId="0BC8BF97">
      <w:pPr>
        <w:spacing w:line="300" w:lineRule="auto"/>
        <w:rPr>
          <w:rFonts w:ascii="Times New Roman" w:hAnsi="Times New Roman"/>
          <w:color w:val="000000"/>
          <w:szCs w:val="21"/>
        </w:rPr>
      </w:pPr>
      <w:bookmarkStart w:id="703" w:name="_Toc144974859"/>
      <w:bookmarkStart w:id="704" w:name="_Toc247085876"/>
      <w:bookmarkStart w:id="705" w:name="_Toc246996358"/>
      <w:bookmarkStart w:id="706" w:name="_Toc296602604"/>
      <w:bookmarkStart w:id="707" w:name="_Toc152045790"/>
      <w:bookmarkStart w:id="708" w:name="_Toc246997101"/>
      <w:bookmarkStart w:id="709" w:name="_Toc152042579"/>
      <w:r>
        <w:rPr>
          <w:rFonts w:ascii="Times New Roman" w:hAnsi="Times New Roman"/>
          <w:color w:val="000000"/>
          <w:szCs w:val="21"/>
          <w:u w:val="single"/>
        </w:rPr>
        <w:t xml:space="preserve">                        </w:t>
      </w:r>
      <w:r>
        <w:rPr>
          <w:rFonts w:ascii="Times New Roman" w:hAnsi="Times New Roman"/>
          <w:color w:val="000000"/>
          <w:szCs w:val="21"/>
        </w:rPr>
        <w:t>（招标人名称）：</w:t>
      </w:r>
    </w:p>
    <w:p w14:paraId="0106180E">
      <w:pPr>
        <w:spacing w:line="300" w:lineRule="auto"/>
        <w:ind w:firstLine="420" w:firstLineChars="200"/>
        <w:rPr>
          <w:rFonts w:ascii="Times New Roman" w:hAnsi="Times New Roman"/>
          <w:color w:val="000000"/>
          <w:szCs w:val="21"/>
        </w:rPr>
      </w:pPr>
      <w:r>
        <w:rPr>
          <w:rFonts w:ascii="Times New Roman" w:hAnsi="Times New Roman"/>
          <w:color w:val="000000"/>
          <w:szCs w:val="21"/>
        </w:rPr>
        <w:t>1．我方已仔细研究了</w:t>
      </w:r>
      <w:r>
        <w:rPr>
          <w:rFonts w:ascii="Times New Roman" w:hAnsi="Times New Roman"/>
          <w:color w:val="000000"/>
          <w:szCs w:val="21"/>
          <w:u w:val="single"/>
        </w:rPr>
        <w:t xml:space="preserve">   </w:t>
      </w:r>
      <w:r>
        <w:rPr>
          <w:rFonts w:ascii="Times New Roman" w:hAnsi="Times New Roman"/>
          <w:color w:val="000000"/>
          <w:szCs w:val="21"/>
        </w:rPr>
        <w:t>（项目名称）招标文件的全部内容，愿意以人民币（大写）</w:t>
      </w:r>
      <w:r>
        <w:rPr>
          <w:rFonts w:hint="eastAsia" w:ascii="Times New Roman" w:hAnsi="Times New Roman"/>
          <w:color w:val="000000"/>
          <w:szCs w:val="21"/>
        </w:rPr>
        <w:t xml:space="preserve">  </w:t>
      </w:r>
      <w:r>
        <w:rPr>
          <w:rFonts w:ascii="Times New Roman" w:hAnsi="Times New Roman"/>
          <w:color w:val="000000"/>
          <w:szCs w:val="21"/>
        </w:rPr>
        <w:t>（¥</w:t>
      </w:r>
      <w:r>
        <w:rPr>
          <w:rFonts w:ascii="Times New Roman" w:hAnsi="Times New Roman"/>
          <w:color w:val="000000"/>
          <w:szCs w:val="21"/>
          <w:u w:val="single"/>
        </w:rPr>
        <w:t xml:space="preserve">           </w:t>
      </w:r>
      <w:r>
        <w:rPr>
          <w:rFonts w:ascii="Times New Roman" w:hAnsi="Times New Roman"/>
          <w:color w:val="000000"/>
          <w:szCs w:val="21"/>
        </w:rPr>
        <w:t>）</w:t>
      </w:r>
      <w:r>
        <w:rPr>
          <w:rFonts w:hint="eastAsia" w:ascii="Times New Roman" w:hAnsi="Times New Roman"/>
          <w:color w:val="000000"/>
          <w:szCs w:val="21"/>
        </w:rPr>
        <w:t>（含专用增值税</w:t>
      </w:r>
      <w:r>
        <w:rPr>
          <w:rFonts w:hint="eastAsia" w:ascii="Times New Roman" w:hAnsi="Times New Roman"/>
          <w:color w:val="000000"/>
          <w:szCs w:val="21"/>
          <w:u w:val="single"/>
        </w:rPr>
        <w:t xml:space="preserve">   </w:t>
      </w:r>
      <w:r>
        <w:rPr>
          <w:rFonts w:hint="eastAsia" w:ascii="Times New Roman" w:hAnsi="Times New Roman"/>
          <w:color w:val="000000"/>
          <w:szCs w:val="21"/>
        </w:rPr>
        <w:t>%）</w:t>
      </w:r>
      <w:r>
        <w:rPr>
          <w:rFonts w:ascii="Times New Roman" w:hAnsi="Times New Roman"/>
          <w:color w:val="000000"/>
          <w:szCs w:val="21"/>
        </w:rPr>
        <w:t>的总报价，工期</w:t>
      </w:r>
      <w:r>
        <w:rPr>
          <w:rFonts w:ascii="Times New Roman" w:hAnsi="Times New Roman"/>
          <w:color w:val="000000"/>
          <w:szCs w:val="21"/>
          <w:u w:val="single"/>
        </w:rPr>
        <w:t xml:space="preserve">  </w:t>
      </w:r>
      <w:r>
        <w:rPr>
          <w:rFonts w:hint="eastAsia" w:ascii="Times New Roman" w:hAnsi="Times New Roman"/>
          <w:color w:val="000000"/>
          <w:szCs w:val="21"/>
          <w:u w:val="single"/>
        </w:rPr>
        <w:t xml:space="preserve"> </w:t>
      </w:r>
      <w:r>
        <w:rPr>
          <w:rFonts w:ascii="Times New Roman" w:hAnsi="Times New Roman"/>
          <w:color w:val="000000"/>
          <w:szCs w:val="21"/>
        </w:rPr>
        <w:t>日历天，按合同约定实施和完成承包工程，修补工程中的任何缺陷，工程质量达到</w:t>
      </w:r>
      <w:r>
        <w:rPr>
          <w:rFonts w:ascii="Times New Roman" w:hAnsi="Times New Roman"/>
          <w:color w:val="000000"/>
          <w:szCs w:val="21"/>
          <w:u w:val="single"/>
        </w:rPr>
        <w:t xml:space="preserve">       </w:t>
      </w:r>
      <w:r>
        <w:rPr>
          <w:rFonts w:ascii="Times New Roman" w:hAnsi="Times New Roman"/>
          <w:color w:val="000000"/>
          <w:szCs w:val="21"/>
        </w:rPr>
        <w:t>。</w:t>
      </w:r>
    </w:p>
    <w:p w14:paraId="1D8DE731">
      <w:pPr>
        <w:spacing w:line="300" w:lineRule="auto"/>
        <w:ind w:firstLine="420" w:firstLineChars="200"/>
        <w:rPr>
          <w:rFonts w:ascii="Times New Roman" w:hAnsi="Times New Roman"/>
          <w:color w:val="000000"/>
          <w:szCs w:val="21"/>
        </w:rPr>
      </w:pPr>
      <w:r>
        <w:rPr>
          <w:rFonts w:ascii="Times New Roman" w:hAnsi="Times New Roman"/>
          <w:color w:val="000000"/>
          <w:szCs w:val="21"/>
        </w:rPr>
        <w:t>2．我方承诺在招标文件规定的投标有效期内不修改、撤销投标文件。</w:t>
      </w:r>
    </w:p>
    <w:p w14:paraId="04F74807">
      <w:pPr>
        <w:spacing w:line="300" w:lineRule="auto"/>
        <w:ind w:firstLine="420" w:firstLineChars="200"/>
        <w:rPr>
          <w:rFonts w:ascii="Times New Roman" w:hAnsi="Times New Roman"/>
          <w:color w:val="000000"/>
          <w:szCs w:val="21"/>
        </w:rPr>
      </w:pPr>
      <w:r>
        <w:rPr>
          <w:rFonts w:ascii="Times New Roman" w:hAnsi="Times New Roman"/>
          <w:color w:val="000000"/>
          <w:szCs w:val="21"/>
        </w:rPr>
        <w:t>3．随同本投标函提交投标保证金一份，金额为人民币（大写）</w:t>
      </w:r>
      <w:r>
        <w:rPr>
          <w:rFonts w:ascii="Times New Roman" w:hAnsi="Times New Roman"/>
          <w:color w:val="000000"/>
          <w:szCs w:val="21"/>
          <w:u w:val="single"/>
        </w:rPr>
        <w:t xml:space="preserve">        </w:t>
      </w:r>
      <w:r>
        <w:rPr>
          <w:rFonts w:ascii="Times New Roman" w:hAnsi="Times New Roman"/>
          <w:color w:val="000000"/>
          <w:szCs w:val="21"/>
        </w:rPr>
        <w:t>（¥</w:t>
      </w:r>
      <w:r>
        <w:rPr>
          <w:rFonts w:ascii="Times New Roman" w:hAnsi="Times New Roman"/>
          <w:color w:val="000000"/>
          <w:szCs w:val="21"/>
          <w:u w:val="single"/>
        </w:rPr>
        <w:t xml:space="preserve">       </w:t>
      </w:r>
      <w:r>
        <w:rPr>
          <w:rFonts w:ascii="Times New Roman" w:hAnsi="Times New Roman"/>
          <w:color w:val="000000"/>
          <w:szCs w:val="21"/>
        </w:rPr>
        <w:t>）。</w:t>
      </w:r>
    </w:p>
    <w:p w14:paraId="25B684FC">
      <w:pPr>
        <w:spacing w:line="300" w:lineRule="auto"/>
        <w:ind w:firstLine="420" w:firstLineChars="200"/>
        <w:rPr>
          <w:rFonts w:ascii="Times New Roman" w:hAnsi="Times New Roman"/>
          <w:color w:val="000000"/>
          <w:szCs w:val="21"/>
        </w:rPr>
      </w:pPr>
      <w:r>
        <w:rPr>
          <w:rFonts w:ascii="Times New Roman" w:hAnsi="Times New Roman"/>
          <w:color w:val="000000"/>
          <w:szCs w:val="21"/>
        </w:rPr>
        <w:t>4．如我方中标：</w:t>
      </w:r>
    </w:p>
    <w:p w14:paraId="43AE7DF7">
      <w:pPr>
        <w:spacing w:line="300" w:lineRule="auto"/>
        <w:ind w:firstLine="718" w:firstLineChars="342"/>
        <w:rPr>
          <w:rFonts w:ascii="Times New Roman" w:hAnsi="Times New Roman"/>
          <w:color w:val="000000"/>
          <w:szCs w:val="21"/>
        </w:rPr>
      </w:pPr>
      <w:r>
        <w:rPr>
          <w:rFonts w:ascii="Times New Roman" w:hAnsi="Times New Roman"/>
          <w:color w:val="000000"/>
          <w:szCs w:val="21"/>
        </w:rPr>
        <w:t>（1）我方承诺在收到成交候选人后，在成交候选人规定的期限内与你方签订合同。</w:t>
      </w:r>
    </w:p>
    <w:p w14:paraId="69ECE9AC">
      <w:pPr>
        <w:spacing w:line="300" w:lineRule="auto"/>
        <w:ind w:firstLine="718" w:firstLineChars="342"/>
        <w:rPr>
          <w:rFonts w:ascii="Times New Roman" w:hAnsi="Times New Roman"/>
          <w:color w:val="000000"/>
          <w:szCs w:val="21"/>
        </w:rPr>
      </w:pPr>
      <w:r>
        <w:rPr>
          <w:rFonts w:ascii="Times New Roman" w:hAnsi="Times New Roman"/>
          <w:color w:val="000000"/>
          <w:szCs w:val="21"/>
        </w:rPr>
        <w:t>（2）随同本投标函递交的投标函附录属于合同文件的组成部分。</w:t>
      </w:r>
    </w:p>
    <w:p w14:paraId="1859323B">
      <w:pPr>
        <w:spacing w:line="300" w:lineRule="auto"/>
        <w:ind w:firstLine="718" w:firstLineChars="342"/>
        <w:rPr>
          <w:rFonts w:ascii="Times New Roman" w:hAnsi="Times New Roman"/>
          <w:color w:val="000000"/>
          <w:szCs w:val="21"/>
        </w:rPr>
      </w:pPr>
      <w:r>
        <w:rPr>
          <w:rFonts w:ascii="Times New Roman" w:hAnsi="Times New Roman"/>
          <w:color w:val="000000"/>
          <w:szCs w:val="21"/>
        </w:rPr>
        <w:t>（3）我方承诺按照招标文件规定向你方递交履约担保。</w:t>
      </w:r>
    </w:p>
    <w:p w14:paraId="7244FA5D">
      <w:pPr>
        <w:spacing w:line="300" w:lineRule="auto"/>
        <w:ind w:firstLine="718" w:firstLineChars="342"/>
        <w:rPr>
          <w:rFonts w:ascii="Times New Roman" w:hAnsi="Times New Roman"/>
          <w:color w:val="000000"/>
          <w:szCs w:val="21"/>
        </w:rPr>
      </w:pPr>
      <w:r>
        <w:rPr>
          <w:rFonts w:ascii="Times New Roman" w:hAnsi="Times New Roman"/>
          <w:color w:val="000000"/>
          <w:szCs w:val="21"/>
        </w:rPr>
        <w:t>（4）我方承诺在合同约定的期限内完成并移交全部合同工程。</w:t>
      </w:r>
    </w:p>
    <w:p w14:paraId="77AD76C6">
      <w:pPr>
        <w:spacing w:line="300" w:lineRule="auto"/>
        <w:ind w:firstLine="420" w:firstLineChars="200"/>
        <w:rPr>
          <w:rFonts w:ascii="Times New Roman" w:hAnsi="Times New Roman"/>
          <w:color w:val="000000"/>
        </w:rPr>
      </w:pPr>
      <w:r>
        <w:rPr>
          <w:rFonts w:ascii="Times New Roman" w:hAnsi="Times New Roman"/>
          <w:color w:val="000000"/>
          <w:szCs w:val="21"/>
        </w:rPr>
        <w:t>5．</w:t>
      </w:r>
      <w:r>
        <w:rPr>
          <w:rFonts w:ascii="Times New Roman" w:hAnsi="Times New Roman"/>
          <w:color w:val="000000"/>
        </w:rPr>
        <w:t>我方在此声明，所递交的投标文件及有关资料内容完整、真实和准确，且不存在第二章“须知”第1.4.2项和第1.4.3项规定的任何一种情形。</w:t>
      </w:r>
    </w:p>
    <w:p w14:paraId="59D6A120">
      <w:pPr>
        <w:spacing w:line="300" w:lineRule="auto"/>
        <w:ind w:firstLine="420" w:firstLineChars="200"/>
        <w:rPr>
          <w:rFonts w:ascii="Times New Roman" w:hAnsi="Times New Roman"/>
          <w:color w:val="000000"/>
          <w:szCs w:val="21"/>
        </w:rPr>
      </w:pPr>
      <w:r>
        <w:rPr>
          <w:rFonts w:ascii="Times New Roman" w:hAnsi="Times New Roman"/>
          <w:color w:val="000000"/>
        </w:rPr>
        <w:t>6.</w:t>
      </w:r>
      <w:r>
        <w:rPr>
          <w:rFonts w:ascii="Times New Roman" w:hAnsi="Times New Roman" w:eastAsia="仿宋_GB2312"/>
          <w:color w:val="000000"/>
          <w:sz w:val="28"/>
        </w:rPr>
        <w:t xml:space="preserve"> </w:t>
      </w:r>
      <w:r>
        <w:rPr>
          <w:rFonts w:ascii="Times New Roman" w:hAnsi="Times New Roman"/>
          <w:color w:val="000000"/>
        </w:rPr>
        <w:t>我方承诺参加投标活动近三年内无违法犯罪及其它不良行为记录，如有经行政主管部门查实或通报的不良记录，我方放弃本次项目投标权利，并无条件承担相应后果和损失。</w:t>
      </w:r>
    </w:p>
    <w:p w14:paraId="4FB128BE">
      <w:pPr>
        <w:spacing w:line="300" w:lineRule="auto"/>
        <w:ind w:firstLine="420" w:firstLineChars="200"/>
        <w:rPr>
          <w:rFonts w:ascii="Times New Roman" w:hAnsi="Times New Roman"/>
          <w:color w:val="000000"/>
          <w:szCs w:val="21"/>
        </w:rPr>
      </w:pPr>
      <w:r>
        <w:rPr>
          <w:rFonts w:ascii="Times New Roman" w:hAnsi="Times New Roman"/>
          <w:color w:val="000000"/>
          <w:szCs w:val="21"/>
        </w:rPr>
        <w:t>7．</w:t>
      </w:r>
      <w:r>
        <w:rPr>
          <w:rFonts w:ascii="Times New Roman" w:hAnsi="Times New Roman"/>
          <w:color w:val="000000"/>
          <w:szCs w:val="21"/>
          <w:u w:val="single"/>
        </w:rPr>
        <w:t xml:space="preserve">                                       </w:t>
      </w:r>
      <w:r>
        <w:rPr>
          <w:rFonts w:ascii="Times New Roman" w:hAnsi="Times New Roman"/>
          <w:color w:val="000000"/>
          <w:szCs w:val="21"/>
        </w:rPr>
        <w:t>（其他补充说明）。</w:t>
      </w:r>
    </w:p>
    <w:p w14:paraId="4956B111">
      <w:pPr>
        <w:spacing w:line="300" w:lineRule="auto"/>
        <w:ind w:firstLine="3675" w:firstLineChars="1750"/>
        <w:rPr>
          <w:rFonts w:ascii="Times New Roman" w:hAnsi="Times New Roman"/>
          <w:color w:val="000000"/>
          <w:szCs w:val="21"/>
        </w:rPr>
      </w:pPr>
      <w:r>
        <w:rPr>
          <w:rFonts w:ascii="Times New Roman" w:hAnsi="Times New Roman"/>
          <w:color w:val="000000"/>
          <w:szCs w:val="21"/>
        </w:rPr>
        <w:t>投标单位：</w:t>
      </w:r>
      <w:r>
        <w:rPr>
          <w:rFonts w:ascii="Times New Roman" w:hAnsi="Times New Roman"/>
          <w:color w:val="000000"/>
          <w:szCs w:val="21"/>
          <w:u w:val="single"/>
        </w:rPr>
        <w:t xml:space="preserve">                      </w:t>
      </w:r>
      <w:r>
        <w:rPr>
          <w:rFonts w:ascii="Times New Roman" w:hAnsi="Times New Roman"/>
          <w:color w:val="000000"/>
          <w:szCs w:val="21"/>
        </w:rPr>
        <w:t>（盖单位章）</w:t>
      </w:r>
    </w:p>
    <w:p w14:paraId="0BDC02D7">
      <w:pPr>
        <w:spacing w:line="300" w:lineRule="auto"/>
        <w:ind w:firstLine="3675" w:firstLineChars="1750"/>
        <w:rPr>
          <w:rFonts w:ascii="Times New Roman" w:hAnsi="Times New Roman"/>
          <w:color w:val="000000"/>
          <w:szCs w:val="21"/>
        </w:rPr>
      </w:pPr>
      <w:r>
        <w:rPr>
          <w:rFonts w:ascii="Times New Roman" w:hAnsi="Times New Roman"/>
          <w:color w:val="000000"/>
          <w:szCs w:val="21"/>
        </w:rPr>
        <w:t>法定代表人：</w:t>
      </w:r>
      <w:r>
        <w:rPr>
          <w:rFonts w:ascii="Times New Roman" w:hAnsi="Times New Roman"/>
          <w:color w:val="000000"/>
          <w:szCs w:val="21"/>
          <w:u w:val="single"/>
        </w:rPr>
        <w:t xml:space="preserve">                    </w:t>
      </w:r>
      <w:r>
        <w:rPr>
          <w:rFonts w:ascii="Times New Roman" w:hAnsi="Times New Roman"/>
          <w:color w:val="000000"/>
          <w:szCs w:val="21"/>
        </w:rPr>
        <w:t>（签字并盖章）</w:t>
      </w:r>
    </w:p>
    <w:p w14:paraId="58A60992">
      <w:pPr>
        <w:spacing w:line="300" w:lineRule="auto"/>
        <w:ind w:firstLine="3675" w:firstLineChars="1750"/>
        <w:rPr>
          <w:rFonts w:ascii="Times New Roman" w:hAnsi="Times New Roman"/>
          <w:color w:val="000000"/>
          <w:szCs w:val="21"/>
        </w:rPr>
      </w:pPr>
      <w:r>
        <w:rPr>
          <w:rFonts w:ascii="Times New Roman" w:hAnsi="Times New Roman"/>
          <w:color w:val="000000"/>
          <w:szCs w:val="21"/>
        </w:rPr>
        <w:t>委托代理人：</w:t>
      </w:r>
      <w:r>
        <w:rPr>
          <w:rFonts w:ascii="Times New Roman" w:hAnsi="Times New Roman"/>
          <w:color w:val="000000"/>
          <w:szCs w:val="21"/>
          <w:u w:val="single"/>
        </w:rPr>
        <w:t xml:space="preserve">                    </w:t>
      </w:r>
      <w:r>
        <w:rPr>
          <w:rFonts w:ascii="Times New Roman" w:hAnsi="Times New Roman"/>
          <w:color w:val="000000"/>
          <w:szCs w:val="21"/>
        </w:rPr>
        <w:t>（签字）</w:t>
      </w:r>
    </w:p>
    <w:p w14:paraId="7A122125">
      <w:pPr>
        <w:spacing w:line="300" w:lineRule="auto"/>
        <w:ind w:firstLine="3675" w:firstLineChars="1750"/>
        <w:rPr>
          <w:rFonts w:ascii="Times New Roman" w:hAnsi="Times New Roman"/>
          <w:color w:val="000000"/>
          <w:szCs w:val="21"/>
        </w:rPr>
      </w:pPr>
      <w:r>
        <w:rPr>
          <w:rFonts w:ascii="Times New Roman" w:hAnsi="Times New Roman"/>
          <w:color w:val="000000"/>
          <w:szCs w:val="21"/>
        </w:rPr>
        <w:t>地址：</w:t>
      </w:r>
      <w:r>
        <w:rPr>
          <w:rFonts w:ascii="Times New Roman" w:hAnsi="Times New Roman"/>
          <w:color w:val="000000"/>
          <w:szCs w:val="21"/>
          <w:u w:val="single"/>
        </w:rPr>
        <w:t xml:space="preserve">                                     </w:t>
      </w:r>
    </w:p>
    <w:p w14:paraId="26F3BB3C">
      <w:pPr>
        <w:spacing w:line="300" w:lineRule="auto"/>
        <w:ind w:firstLine="3675" w:firstLineChars="1750"/>
        <w:rPr>
          <w:rFonts w:ascii="Times New Roman" w:hAnsi="Times New Roman"/>
          <w:color w:val="000000"/>
          <w:szCs w:val="21"/>
        </w:rPr>
      </w:pPr>
      <w:r>
        <w:rPr>
          <w:rFonts w:ascii="Times New Roman" w:hAnsi="Times New Roman"/>
          <w:color w:val="000000"/>
          <w:szCs w:val="21"/>
        </w:rPr>
        <w:t>电话：</w:t>
      </w:r>
      <w:r>
        <w:rPr>
          <w:rFonts w:ascii="Times New Roman" w:hAnsi="Times New Roman"/>
          <w:color w:val="000000"/>
          <w:szCs w:val="21"/>
          <w:u w:val="single"/>
        </w:rPr>
        <w:t xml:space="preserve">                                     </w:t>
      </w:r>
    </w:p>
    <w:p w14:paraId="08AA9877">
      <w:pPr>
        <w:spacing w:line="300" w:lineRule="auto"/>
        <w:ind w:firstLine="3675" w:firstLineChars="1750"/>
        <w:rPr>
          <w:rFonts w:ascii="Times New Roman" w:hAnsi="Times New Roman"/>
          <w:color w:val="000000"/>
          <w:szCs w:val="21"/>
        </w:rPr>
      </w:pPr>
      <w:r>
        <w:rPr>
          <w:rFonts w:ascii="Times New Roman" w:hAnsi="Times New Roman"/>
          <w:color w:val="000000"/>
          <w:szCs w:val="21"/>
        </w:rPr>
        <w:t>邮政编码：</w:t>
      </w:r>
      <w:r>
        <w:rPr>
          <w:rFonts w:ascii="Times New Roman" w:hAnsi="Times New Roman"/>
          <w:color w:val="000000"/>
          <w:szCs w:val="21"/>
          <w:u w:val="single"/>
        </w:rPr>
        <w:t xml:space="preserve">                                 </w:t>
      </w:r>
    </w:p>
    <w:p w14:paraId="2D38DD5C">
      <w:pPr>
        <w:spacing w:line="300" w:lineRule="auto"/>
        <w:ind w:firstLine="5040" w:firstLineChars="2400"/>
        <w:rPr>
          <w:rFonts w:ascii="Times New Roman" w:hAnsi="Times New Roman"/>
          <w:color w:val="000000"/>
          <w:szCs w:val="21"/>
        </w:rPr>
      </w:pP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p>
    <w:p w14:paraId="3B9BC015">
      <w:pPr>
        <w:spacing w:line="300" w:lineRule="auto"/>
        <w:ind w:firstLine="5040" w:firstLineChars="2400"/>
        <w:rPr>
          <w:rFonts w:ascii="Times New Roman" w:hAnsi="Times New Roman"/>
          <w:color w:val="000000"/>
          <w:szCs w:val="21"/>
        </w:rPr>
      </w:pPr>
    </w:p>
    <w:p w14:paraId="0A2FAC3F">
      <w:pPr>
        <w:spacing w:line="300" w:lineRule="auto"/>
        <w:jc w:val="left"/>
      </w:pPr>
      <w:r>
        <w:rPr>
          <w:rFonts w:ascii="Times New Roman" w:hAnsi="Times New Roman" w:eastAsia="楷体_GB2312"/>
          <w:b/>
          <w:color w:val="000000"/>
          <w:kern w:val="0"/>
          <w:sz w:val="24"/>
          <w:lang w:val="zh-CN"/>
        </w:rPr>
        <w:t>注：本“投标函”除装订在投标文件中，另外需与“授权委托书”共同密封在一单独的信封内，与投标文件一同递交。</w:t>
      </w:r>
    </w:p>
    <w:p w14:paraId="17451165">
      <w:pPr>
        <w:rPr>
          <w:color w:val="000000"/>
        </w:rPr>
      </w:pPr>
      <w:r>
        <w:rPr>
          <w:rFonts w:ascii="Times New Roman" w:hAnsi="Times New Roman"/>
        </w:rPr>
        <w:br w:type="page"/>
      </w:r>
    </w:p>
    <w:p w14:paraId="4FB91DD7">
      <w:pPr>
        <w:pStyle w:val="4"/>
        <w:spacing w:before="0" w:after="0" w:line="300" w:lineRule="auto"/>
        <w:jc w:val="center"/>
        <w:rPr>
          <w:color w:val="000000"/>
        </w:rPr>
      </w:pPr>
      <w:bookmarkStart w:id="710" w:name="_Toc6870"/>
      <w:bookmarkStart w:id="711" w:name="_Toc15866"/>
      <w:bookmarkStart w:id="712" w:name="_Toc16696"/>
      <w:r>
        <w:rPr>
          <w:color w:val="000000"/>
        </w:rPr>
        <w:t>投标函附录</w:t>
      </w:r>
      <w:bookmarkEnd w:id="703"/>
      <w:bookmarkEnd w:id="704"/>
      <w:bookmarkEnd w:id="705"/>
      <w:bookmarkEnd w:id="706"/>
      <w:bookmarkEnd w:id="707"/>
      <w:bookmarkEnd w:id="708"/>
      <w:bookmarkEnd w:id="709"/>
      <w:bookmarkEnd w:id="710"/>
      <w:bookmarkEnd w:id="711"/>
      <w:bookmarkEnd w:id="712"/>
    </w:p>
    <w:p w14:paraId="0BBAAC42">
      <w:pPr>
        <w:spacing w:line="300" w:lineRule="auto"/>
        <w:rPr>
          <w:rFonts w:ascii="Times New Roman" w:hAnsi="Times New Roman" w:eastAsia="黑体"/>
          <w:color w:val="000000"/>
          <w:sz w:val="20"/>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499"/>
        <w:gridCol w:w="4428"/>
        <w:gridCol w:w="768"/>
      </w:tblGrid>
      <w:tr w14:paraId="59A9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95" w:type="dxa"/>
            <w:vAlign w:val="center"/>
          </w:tcPr>
          <w:p w14:paraId="136F09B7">
            <w:pPr>
              <w:spacing w:line="300" w:lineRule="auto"/>
              <w:jc w:val="center"/>
              <w:rPr>
                <w:rFonts w:ascii="Times New Roman" w:hAnsi="Times New Roman"/>
                <w:b/>
                <w:color w:val="000000"/>
                <w:szCs w:val="21"/>
              </w:rPr>
            </w:pPr>
            <w:r>
              <w:rPr>
                <w:rFonts w:ascii="Times New Roman" w:hAnsi="Times New Roman"/>
                <w:b/>
                <w:color w:val="000000"/>
                <w:szCs w:val="21"/>
              </w:rPr>
              <w:t>序号</w:t>
            </w:r>
          </w:p>
        </w:tc>
        <w:tc>
          <w:tcPr>
            <w:tcW w:w="2499" w:type="dxa"/>
            <w:vAlign w:val="center"/>
          </w:tcPr>
          <w:p w14:paraId="25D46BA0">
            <w:pPr>
              <w:spacing w:line="300" w:lineRule="auto"/>
              <w:jc w:val="center"/>
              <w:rPr>
                <w:rFonts w:ascii="Times New Roman" w:hAnsi="Times New Roman"/>
                <w:b/>
                <w:color w:val="000000"/>
                <w:szCs w:val="21"/>
              </w:rPr>
            </w:pPr>
            <w:r>
              <w:rPr>
                <w:rFonts w:ascii="Times New Roman" w:hAnsi="Times New Roman"/>
                <w:b/>
                <w:color w:val="000000"/>
                <w:szCs w:val="21"/>
              </w:rPr>
              <w:t>条款名称</w:t>
            </w:r>
          </w:p>
        </w:tc>
        <w:tc>
          <w:tcPr>
            <w:tcW w:w="4428" w:type="dxa"/>
            <w:vAlign w:val="center"/>
          </w:tcPr>
          <w:p w14:paraId="6131B12A">
            <w:pPr>
              <w:spacing w:line="300" w:lineRule="auto"/>
              <w:jc w:val="center"/>
              <w:rPr>
                <w:rFonts w:ascii="Times New Roman" w:hAnsi="Times New Roman"/>
                <w:b/>
                <w:color w:val="000000"/>
                <w:szCs w:val="21"/>
              </w:rPr>
            </w:pPr>
            <w:r>
              <w:rPr>
                <w:rFonts w:ascii="Times New Roman" w:hAnsi="Times New Roman"/>
                <w:b/>
                <w:color w:val="000000"/>
                <w:szCs w:val="21"/>
              </w:rPr>
              <w:t>约定内容</w:t>
            </w:r>
          </w:p>
        </w:tc>
        <w:tc>
          <w:tcPr>
            <w:tcW w:w="768" w:type="dxa"/>
            <w:vAlign w:val="center"/>
          </w:tcPr>
          <w:p w14:paraId="4A668281">
            <w:pPr>
              <w:spacing w:line="300" w:lineRule="auto"/>
              <w:jc w:val="center"/>
              <w:rPr>
                <w:rFonts w:ascii="Times New Roman" w:hAnsi="Times New Roman"/>
                <w:b/>
                <w:color w:val="000000"/>
                <w:szCs w:val="21"/>
              </w:rPr>
            </w:pPr>
            <w:r>
              <w:rPr>
                <w:rFonts w:ascii="Times New Roman" w:hAnsi="Times New Roman"/>
                <w:b/>
                <w:color w:val="000000"/>
                <w:szCs w:val="21"/>
              </w:rPr>
              <w:t>备注</w:t>
            </w:r>
          </w:p>
        </w:tc>
      </w:tr>
      <w:tr w14:paraId="2A45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95" w:type="dxa"/>
            <w:vAlign w:val="center"/>
          </w:tcPr>
          <w:p w14:paraId="56642D8F">
            <w:pPr>
              <w:spacing w:line="300" w:lineRule="auto"/>
              <w:jc w:val="center"/>
              <w:rPr>
                <w:rFonts w:ascii="Times New Roman" w:hAnsi="Times New Roman"/>
                <w:color w:val="000000"/>
                <w:szCs w:val="21"/>
              </w:rPr>
            </w:pPr>
            <w:r>
              <w:rPr>
                <w:rFonts w:ascii="Times New Roman" w:hAnsi="Times New Roman"/>
                <w:color w:val="000000"/>
                <w:szCs w:val="21"/>
              </w:rPr>
              <w:t>1</w:t>
            </w:r>
          </w:p>
        </w:tc>
        <w:tc>
          <w:tcPr>
            <w:tcW w:w="2499" w:type="dxa"/>
            <w:vAlign w:val="center"/>
          </w:tcPr>
          <w:p w14:paraId="5C349A7E">
            <w:pPr>
              <w:spacing w:line="300" w:lineRule="auto"/>
              <w:jc w:val="center"/>
              <w:rPr>
                <w:rFonts w:ascii="Times New Roman" w:hAnsi="Times New Roman"/>
                <w:color w:val="000000"/>
                <w:szCs w:val="21"/>
              </w:rPr>
            </w:pPr>
            <w:r>
              <w:rPr>
                <w:rFonts w:ascii="Times New Roman" w:hAnsi="Times New Roman"/>
                <w:color w:val="000000"/>
                <w:szCs w:val="21"/>
              </w:rPr>
              <w:t>项目经理</w:t>
            </w:r>
          </w:p>
        </w:tc>
        <w:tc>
          <w:tcPr>
            <w:tcW w:w="4428" w:type="dxa"/>
            <w:vAlign w:val="center"/>
          </w:tcPr>
          <w:p w14:paraId="6917C1EA">
            <w:pPr>
              <w:spacing w:line="300" w:lineRule="auto"/>
              <w:rPr>
                <w:rFonts w:ascii="Times New Roman" w:hAnsi="Times New Roman"/>
                <w:color w:val="000000"/>
                <w:szCs w:val="21"/>
                <w:u w:val="single"/>
              </w:rPr>
            </w:pPr>
            <w:r>
              <w:rPr>
                <w:rFonts w:ascii="Times New Roman" w:hAnsi="Times New Roman"/>
                <w:color w:val="000000"/>
                <w:szCs w:val="21"/>
              </w:rPr>
              <w:t>姓名：</w:t>
            </w:r>
            <w:r>
              <w:rPr>
                <w:rFonts w:ascii="Times New Roman" w:hAnsi="Times New Roman"/>
                <w:color w:val="000000"/>
                <w:szCs w:val="21"/>
                <w:u w:val="single"/>
              </w:rPr>
              <w:t xml:space="preserve">        </w:t>
            </w:r>
          </w:p>
        </w:tc>
        <w:tc>
          <w:tcPr>
            <w:tcW w:w="768" w:type="dxa"/>
            <w:vAlign w:val="center"/>
          </w:tcPr>
          <w:p w14:paraId="4F772EA9">
            <w:pPr>
              <w:spacing w:line="300" w:lineRule="auto"/>
              <w:jc w:val="center"/>
              <w:rPr>
                <w:rFonts w:ascii="Times New Roman" w:hAnsi="Times New Roman"/>
                <w:color w:val="000000"/>
                <w:szCs w:val="21"/>
              </w:rPr>
            </w:pPr>
          </w:p>
        </w:tc>
      </w:tr>
      <w:tr w14:paraId="308C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695" w:type="dxa"/>
            <w:vAlign w:val="center"/>
          </w:tcPr>
          <w:p w14:paraId="55762E9E">
            <w:pPr>
              <w:spacing w:line="300" w:lineRule="auto"/>
              <w:jc w:val="center"/>
              <w:rPr>
                <w:rFonts w:ascii="Times New Roman" w:hAnsi="Times New Roman"/>
                <w:color w:val="000000"/>
                <w:szCs w:val="21"/>
              </w:rPr>
            </w:pPr>
            <w:r>
              <w:rPr>
                <w:rFonts w:ascii="Times New Roman" w:hAnsi="Times New Roman"/>
                <w:color w:val="000000"/>
                <w:szCs w:val="21"/>
              </w:rPr>
              <w:t>2</w:t>
            </w:r>
          </w:p>
        </w:tc>
        <w:tc>
          <w:tcPr>
            <w:tcW w:w="2499" w:type="dxa"/>
            <w:vAlign w:val="center"/>
          </w:tcPr>
          <w:p w14:paraId="31E733DF">
            <w:pPr>
              <w:spacing w:line="300" w:lineRule="auto"/>
              <w:jc w:val="center"/>
              <w:rPr>
                <w:rFonts w:ascii="Times New Roman" w:hAnsi="Times New Roman"/>
                <w:color w:val="000000"/>
                <w:szCs w:val="21"/>
              </w:rPr>
            </w:pPr>
            <w:r>
              <w:rPr>
                <w:rFonts w:ascii="Times New Roman" w:hAnsi="Times New Roman"/>
                <w:color w:val="000000"/>
                <w:szCs w:val="21"/>
              </w:rPr>
              <w:t>工期</w:t>
            </w:r>
          </w:p>
        </w:tc>
        <w:tc>
          <w:tcPr>
            <w:tcW w:w="4428" w:type="dxa"/>
            <w:vAlign w:val="center"/>
          </w:tcPr>
          <w:p w14:paraId="0DBDCF00">
            <w:pPr>
              <w:spacing w:line="300" w:lineRule="auto"/>
              <w:rPr>
                <w:rFonts w:ascii="Times New Roman" w:hAnsi="Times New Roman"/>
                <w:color w:val="000000"/>
                <w:szCs w:val="21"/>
              </w:rPr>
            </w:pPr>
            <w:r>
              <w:rPr>
                <w:rFonts w:ascii="Times New Roman" w:hAnsi="Times New Roman"/>
                <w:color w:val="000000"/>
                <w:szCs w:val="21"/>
              </w:rPr>
              <w:t>天数：</w:t>
            </w:r>
            <w:r>
              <w:rPr>
                <w:rFonts w:ascii="Times New Roman" w:hAnsi="Times New Roman"/>
                <w:color w:val="000000"/>
                <w:szCs w:val="21"/>
                <w:u w:val="single"/>
              </w:rPr>
              <w:t xml:space="preserve">     </w:t>
            </w:r>
            <w:r>
              <w:rPr>
                <w:rFonts w:ascii="Times New Roman" w:hAnsi="Times New Roman"/>
                <w:color w:val="000000"/>
                <w:szCs w:val="21"/>
              </w:rPr>
              <w:t>日历天</w:t>
            </w:r>
          </w:p>
        </w:tc>
        <w:tc>
          <w:tcPr>
            <w:tcW w:w="768" w:type="dxa"/>
            <w:vAlign w:val="center"/>
          </w:tcPr>
          <w:p w14:paraId="45BAF66F">
            <w:pPr>
              <w:spacing w:line="300" w:lineRule="auto"/>
              <w:jc w:val="center"/>
              <w:rPr>
                <w:rFonts w:ascii="Times New Roman" w:hAnsi="Times New Roman"/>
                <w:color w:val="000000"/>
                <w:szCs w:val="21"/>
              </w:rPr>
            </w:pPr>
          </w:p>
        </w:tc>
      </w:tr>
      <w:tr w14:paraId="33FC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95" w:type="dxa"/>
            <w:vAlign w:val="center"/>
          </w:tcPr>
          <w:p w14:paraId="2957AF60">
            <w:pPr>
              <w:spacing w:line="300" w:lineRule="auto"/>
              <w:jc w:val="center"/>
              <w:rPr>
                <w:rFonts w:ascii="Times New Roman" w:hAnsi="Times New Roman"/>
                <w:color w:val="000000"/>
                <w:szCs w:val="21"/>
              </w:rPr>
            </w:pPr>
            <w:r>
              <w:rPr>
                <w:rFonts w:ascii="Times New Roman" w:hAnsi="Times New Roman"/>
                <w:color w:val="000000"/>
                <w:szCs w:val="21"/>
              </w:rPr>
              <w:t>3</w:t>
            </w:r>
          </w:p>
        </w:tc>
        <w:tc>
          <w:tcPr>
            <w:tcW w:w="2499" w:type="dxa"/>
            <w:vAlign w:val="center"/>
          </w:tcPr>
          <w:p w14:paraId="23EFC72D">
            <w:pPr>
              <w:spacing w:line="300" w:lineRule="auto"/>
              <w:jc w:val="center"/>
              <w:rPr>
                <w:rFonts w:ascii="Times New Roman" w:hAnsi="Times New Roman"/>
                <w:color w:val="000000"/>
                <w:szCs w:val="21"/>
              </w:rPr>
            </w:pPr>
            <w:r>
              <w:rPr>
                <w:rFonts w:ascii="Times New Roman" w:hAnsi="Times New Roman"/>
                <w:color w:val="000000"/>
                <w:szCs w:val="21"/>
              </w:rPr>
              <w:t>缺陷责任期</w:t>
            </w:r>
          </w:p>
        </w:tc>
        <w:tc>
          <w:tcPr>
            <w:tcW w:w="4428" w:type="dxa"/>
            <w:vAlign w:val="center"/>
          </w:tcPr>
          <w:p w14:paraId="40B8BFE5">
            <w:pPr>
              <w:spacing w:line="300" w:lineRule="auto"/>
              <w:rPr>
                <w:rFonts w:ascii="Times New Roman" w:hAnsi="Times New Roman"/>
                <w:color w:val="000000"/>
                <w:szCs w:val="21"/>
              </w:rPr>
            </w:pPr>
            <w:r>
              <w:rPr>
                <w:rFonts w:hint="eastAsia" w:ascii="Times New Roman" w:hAnsi="Times New Roman"/>
                <w:color w:val="000000"/>
                <w:szCs w:val="21"/>
              </w:rPr>
              <w:t>2年</w:t>
            </w:r>
          </w:p>
        </w:tc>
        <w:tc>
          <w:tcPr>
            <w:tcW w:w="768" w:type="dxa"/>
            <w:vAlign w:val="center"/>
          </w:tcPr>
          <w:p w14:paraId="0AA69707">
            <w:pPr>
              <w:spacing w:line="300" w:lineRule="auto"/>
              <w:jc w:val="center"/>
              <w:rPr>
                <w:rFonts w:ascii="Times New Roman" w:hAnsi="Times New Roman"/>
                <w:color w:val="000000"/>
                <w:szCs w:val="21"/>
              </w:rPr>
            </w:pPr>
          </w:p>
        </w:tc>
      </w:tr>
      <w:tr w14:paraId="655F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695" w:type="dxa"/>
            <w:vAlign w:val="center"/>
          </w:tcPr>
          <w:p w14:paraId="7A6F9C08">
            <w:pPr>
              <w:spacing w:line="300" w:lineRule="auto"/>
              <w:jc w:val="center"/>
              <w:rPr>
                <w:rFonts w:ascii="Times New Roman" w:hAnsi="Times New Roman"/>
                <w:color w:val="000000"/>
                <w:szCs w:val="21"/>
              </w:rPr>
            </w:pPr>
            <w:r>
              <w:rPr>
                <w:rFonts w:ascii="Times New Roman" w:hAnsi="Times New Roman"/>
                <w:color w:val="000000"/>
                <w:szCs w:val="21"/>
              </w:rPr>
              <w:t>4</w:t>
            </w:r>
          </w:p>
        </w:tc>
        <w:tc>
          <w:tcPr>
            <w:tcW w:w="2499" w:type="dxa"/>
            <w:vAlign w:val="center"/>
          </w:tcPr>
          <w:p w14:paraId="26C1DA17">
            <w:pPr>
              <w:spacing w:line="300" w:lineRule="auto"/>
              <w:jc w:val="center"/>
              <w:rPr>
                <w:rFonts w:ascii="Times New Roman" w:hAnsi="Times New Roman"/>
                <w:color w:val="000000"/>
                <w:szCs w:val="21"/>
              </w:rPr>
            </w:pPr>
            <w:r>
              <w:rPr>
                <w:rFonts w:ascii="Times New Roman" w:hAnsi="Times New Roman"/>
                <w:color w:val="000000"/>
                <w:szCs w:val="21"/>
              </w:rPr>
              <w:t>违约责任</w:t>
            </w:r>
          </w:p>
        </w:tc>
        <w:tc>
          <w:tcPr>
            <w:tcW w:w="4428" w:type="dxa"/>
            <w:vAlign w:val="center"/>
          </w:tcPr>
          <w:p w14:paraId="75D86F81">
            <w:pPr>
              <w:spacing w:line="300" w:lineRule="auto"/>
              <w:rPr>
                <w:rFonts w:ascii="Times New Roman" w:hAnsi="Times New Roman"/>
                <w:color w:val="000000"/>
                <w:szCs w:val="21"/>
              </w:rPr>
            </w:pPr>
            <w:r>
              <w:rPr>
                <w:rFonts w:ascii="Times New Roman" w:hAnsi="Times New Roman"/>
                <w:color w:val="000000"/>
                <w:szCs w:val="21"/>
              </w:rPr>
              <w:t>未经采购人同意更换项目经理，违约责任金</w:t>
            </w:r>
            <w:r>
              <w:rPr>
                <w:rFonts w:hint="eastAsia" w:ascii="Times New Roman" w:hAnsi="Times New Roman"/>
                <w:color w:val="000000"/>
                <w:szCs w:val="21"/>
              </w:rPr>
              <w:t>1</w:t>
            </w:r>
            <w:r>
              <w:rPr>
                <w:rFonts w:ascii="Times New Roman" w:hAnsi="Times New Roman"/>
                <w:color w:val="000000"/>
                <w:szCs w:val="21"/>
              </w:rPr>
              <w:t>万元。</w:t>
            </w:r>
          </w:p>
        </w:tc>
        <w:tc>
          <w:tcPr>
            <w:tcW w:w="768" w:type="dxa"/>
            <w:vAlign w:val="center"/>
          </w:tcPr>
          <w:p w14:paraId="0B3AAF30">
            <w:pPr>
              <w:spacing w:line="300" w:lineRule="auto"/>
              <w:jc w:val="center"/>
              <w:rPr>
                <w:rFonts w:ascii="Times New Roman" w:hAnsi="Times New Roman"/>
                <w:color w:val="000000"/>
                <w:szCs w:val="21"/>
              </w:rPr>
            </w:pPr>
          </w:p>
        </w:tc>
      </w:tr>
      <w:tr w14:paraId="0770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95" w:type="dxa"/>
            <w:vAlign w:val="center"/>
          </w:tcPr>
          <w:p w14:paraId="1ACD1A94">
            <w:pPr>
              <w:spacing w:line="300" w:lineRule="auto"/>
              <w:jc w:val="center"/>
              <w:rPr>
                <w:rFonts w:ascii="Times New Roman" w:hAnsi="Times New Roman"/>
                <w:color w:val="000000"/>
                <w:szCs w:val="21"/>
              </w:rPr>
            </w:pPr>
            <w:r>
              <w:rPr>
                <w:rFonts w:ascii="Times New Roman" w:hAnsi="Times New Roman"/>
                <w:color w:val="000000"/>
                <w:szCs w:val="21"/>
              </w:rPr>
              <w:t>……</w:t>
            </w:r>
          </w:p>
        </w:tc>
        <w:tc>
          <w:tcPr>
            <w:tcW w:w="2499" w:type="dxa"/>
            <w:vAlign w:val="center"/>
          </w:tcPr>
          <w:p w14:paraId="498162FA">
            <w:pPr>
              <w:spacing w:line="300" w:lineRule="auto"/>
              <w:jc w:val="center"/>
              <w:rPr>
                <w:rFonts w:ascii="Times New Roman" w:hAnsi="Times New Roman"/>
                <w:color w:val="000000"/>
                <w:szCs w:val="21"/>
              </w:rPr>
            </w:pPr>
            <w:r>
              <w:rPr>
                <w:rFonts w:ascii="Times New Roman" w:hAnsi="Times New Roman"/>
                <w:color w:val="000000"/>
                <w:szCs w:val="21"/>
              </w:rPr>
              <w:t>……</w:t>
            </w:r>
          </w:p>
        </w:tc>
        <w:tc>
          <w:tcPr>
            <w:tcW w:w="4428" w:type="dxa"/>
            <w:vAlign w:val="center"/>
          </w:tcPr>
          <w:p w14:paraId="03BEE80A">
            <w:pPr>
              <w:spacing w:line="300" w:lineRule="auto"/>
              <w:jc w:val="center"/>
              <w:rPr>
                <w:rFonts w:ascii="Times New Roman" w:hAnsi="Times New Roman"/>
                <w:color w:val="000000"/>
                <w:szCs w:val="21"/>
              </w:rPr>
            </w:pPr>
            <w:r>
              <w:rPr>
                <w:rFonts w:ascii="Times New Roman" w:hAnsi="Times New Roman"/>
                <w:color w:val="000000"/>
                <w:szCs w:val="21"/>
              </w:rPr>
              <w:t>……</w:t>
            </w:r>
          </w:p>
        </w:tc>
        <w:tc>
          <w:tcPr>
            <w:tcW w:w="768" w:type="dxa"/>
            <w:vAlign w:val="center"/>
          </w:tcPr>
          <w:p w14:paraId="4DD88B98">
            <w:pPr>
              <w:spacing w:line="300" w:lineRule="auto"/>
              <w:jc w:val="center"/>
              <w:rPr>
                <w:rFonts w:ascii="Times New Roman" w:hAnsi="Times New Roman"/>
                <w:color w:val="000000"/>
                <w:szCs w:val="21"/>
              </w:rPr>
            </w:pPr>
          </w:p>
        </w:tc>
      </w:tr>
      <w:tr w14:paraId="355E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95" w:type="dxa"/>
            <w:vAlign w:val="center"/>
          </w:tcPr>
          <w:p w14:paraId="7217E1CD">
            <w:pPr>
              <w:spacing w:line="300" w:lineRule="auto"/>
              <w:jc w:val="center"/>
              <w:rPr>
                <w:rFonts w:ascii="Times New Roman" w:hAnsi="Times New Roman"/>
                <w:color w:val="000000"/>
                <w:szCs w:val="21"/>
              </w:rPr>
            </w:pPr>
            <w:r>
              <w:rPr>
                <w:rFonts w:ascii="Times New Roman" w:hAnsi="Times New Roman"/>
                <w:color w:val="000000"/>
                <w:szCs w:val="21"/>
              </w:rPr>
              <w:t>……</w:t>
            </w:r>
          </w:p>
        </w:tc>
        <w:tc>
          <w:tcPr>
            <w:tcW w:w="2499" w:type="dxa"/>
            <w:vAlign w:val="center"/>
          </w:tcPr>
          <w:p w14:paraId="193E6FC2">
            <w:pPr>
              <w:spacing w:line="300" w:lineRule="auto"/>
              <w:jc w:val="center"/>
              <w:rPr>
                <w:rFonts w:ascii="Times New Roman" w:hAnsi="Times New Roman"/>
                <w:color w:val="000000"/>
                <w:szCs w:val="21"/>
              </w:rPr>
            </w:pPr>
            <w:r>
              <w:rPr>
                <w:rFonts w:ascii="Times New Roman" w:hAnsi="Times New Roman"/>
                <w:color w:val="000000"/>
                <w:szCs w:val="21"/>
              </w:rPr>
              <w:t>……</w:t>
            </w:r>
          </w:p>
        </w:tc>
        <w:tc>
          <w:tcPr>
            <w:tcW w:w="4428" w:type="dxa"/>
            <w:vAlign w:val="center"/>
          </w:tcPr>
          <w:p w14:paraId="0B5229BD">
            <w:pPr>
              <w:spacing w:line="300" w:lineRule="auto"/>
              <w:jc w:val="center"/>
              <w:rPr>
                <w:rFonts w:ascii="Times New Roman" w:hAnsi="Times New Roman"/>
                <w:color w:val="000000"/>
                <w:szCs w:val="21"/>
              </w:rPr>
            </w:pPr>
            <w:r>
              <w:rPr>
                <w:rFonts w:ascii="Times New Roman" w:hAnsi="Times New Roman"/>
                <w:color w:val="000000"/>
                <w:szCs w:val="21"/>
              </w:rPr>
              <w:t>……</w:t>
            </w:r>
          </w:p>
        </w:tc>
        <w:tc>
          <w:tcPr>
            <w:tcW w:w="768" w:type="dxa"/>
            <w:vAlign w:val="center"/>
          </w:tcPr>
          <w:p w14:paraId="6A17FD57">
            <w:pPr>
              <w:spacing w:line="300" w:lineRule="auto"/>
              <w:jc w:val="center"/>
              <w:rPr>
                <w:rFonts w:ascii="Times New Roman" w:hAnsi="Times New Roman"/>
                <w:color w:val="000000"/>
                <w:szCs w:val="21"/>
              </w:rPr>
            </w:pPr>
          </w:p>
        </w:tc>
      </w:tr>
      <w:tr w14:paraId="5916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95" w:type="dxa"/>
            <w:vAlign w:val="center"/>
          </w:tcPr>
          <w:p w14:paraId="162885CA">
            <w:pPr>
              <w:spacing w:line="300" w:lineRule="auto"/>
              <w:jc w:val="center"/>
              <w:rPr>
                <w:rFonts w:ascii="Times New Roman" w:hAnsi="Times New Roman"/>
                <w:color w:val="000000"/>
                <w:szCs w:val="21"/>
              </w:rPr>
            </w:pPr>
            <w:r>
              <w:rPr>
                <w:rFonts w:ascii="Times New Roman" w:hAnsi="Times New Roman"/>
                <w:color w:val="000000"/>
                <w:szCs w:val="21"/>
              </w:rPr>
              <w:t>……</w:t>
            </w:r>
          </w:p>
        </w:tc>
        <w:tc>
          <w:tcPr>
            <w:tcW w:w="2499" w:type="dxa"/>
            <w:vAlign w:val="center"/>
          </w:tcPr>
          <w:p w14:paraId="2BA14C8F">
            <w:pPr>
              <w:spacing w:line="300" w:lineRule="auto"/>
              <w:jc w:val="center"/>
              <w:rPr>
                <w:rFonts w:ascii="Times New Roman" w:hAnsi="Times New Roman"/>
                <w:color w:val="000000"/>
                <w:szCs w:val="21"/>
              </w:rPr>
            </w:pPr>
            <w:r>
              <w:rPr>
                <w:rFonts w:ascii="Times New Roman" w:hAnsi="Times New Roman"/>
                <w:color w:val="000000"/>
                <w:szCs w:val="21"/>
              </w:rPr>
              <w:t>……</w:t>
            </w:r>
          </w:p>
        </w:tc>
        <w:tc>
          <w:tcPr>
            <w:tcW w:w="4428" w:type="dxa"/>
            <w:vAlign w:val="center"/>
          </w:tcPr>
          <w:p w14:paraId="6602C9F0">
            <w:pPr>
              <w:spacing w:line="300" w:lineRule="auto"/>
              <w:jc w:val="center"/>
              <w:rPr>
                <w:rFonts w:ascii="Times New Roman" w:hAnsi="Times New Roman"/>
                <w:color w:val="000000"/>
                <w:szCs w:val="21"/>
              </w:rPr>
            </w:pPr>
            <w:r>
              <w:rPr>
                <w:rFonts w:ascii="Times New Roman" w:hAnsi="Times New Roman"/>
                <w:color w:val="000000"/>
                <w:szCs w:val="21"/>
              </w:rPr>
              <w:t>……</w:t>
            </w:r>
          </w:p>
        </w:tc>
        <w:tc>
          <w:tcPr>
            <w:tcW w:w="768" w:type="dxa"/>
            <w:vAlign w:val="center"/>
          </w:tcPr>
          <w:p w14:paraId="1409DAAD">
            <w:pPr>
              <w:spacing w:line="300" w:lineRule="auto"/>
              <w:jc w:val="center"/>
              <w:rPr>
                <w:rFonts w:ascii="Times New Roman" w:hAnsi="Times New Roman"/>
                <w:color w:val="000000"/>
                <w:szCs w:val="21"/>
              </w:rPr>
            </w:pPr>
          </w:p>
        </w:tc>
      </w:tr>
      <w:tr w14:paraId="335B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95" w:type="dxa"/>
            <w:vAlign w:val="center"/>
          </w:tcPr>
          <w:p w14:paraId="5BD76897">
            <w:pPr>
              <w:spacing w:line="300" w:lineRule="auto"/>
              <w:jc w:val="center"/>
              <w:rPr>
                <w:rFonts w:ascii="Times New Roman" w:hAnsi="Times New Roman"/>
                <w:color w:val="000000"/>
                <w:szCs w:val="21"/>
              </w:rPr>
            </w:pPr>
            <w:r>
              <w:rPr>
                <w:rFonts w:ascii="Times New Roman" w:hAnsi="Times New Roman"/>
                <w:color w:val="000000"/>
                <w:szCs w:val="21"/>
              </w:rPr>
              <w:t>……</w:t>
            </w:r>
          </w:p>
        </w:tc>
        <w:tc>
          <w:tcPr>
            <w:tcW w:w="2499" w:type="dxa"/>
            <w:vAlign w:val="center"/>
          </w:tcPr>
          <w:p w14:paraId="71D44E4E">
            <w:pPr>
              <w:spacing w:line="300" w:lineRule="auto"/>
              <w:jc w:val="center"/>
              <w:rPr>
                <w:rFonts w:ascii="Times New Roman" w:hAnsi="Times New Roman"/>
                <w:color w:val="000000"/>
                <w:szCs w:val="21"/>
              </w:rPr>
            </w:pPr>
            <w:r>
              <w:rPr>
                <w:rFonts w:ascii="Times New Roman" w:hAnsi="Times New Roman"/>
                <w:color w:val="000000"/>
                <w:szCs w:val="21"/>
              </w:rPr>
              <w:t>……</w:t>
            </w:r>
          </w:p>
        </w:tc>
        <w:tc>
          <w:tcPr>
            <w:tcW w:w="4428" w:type="dxa"/>
            <w:vAlign w:val="center"/>
          </w:tcPr>
          <w:p w14:paraId="78CD044A">
            <w:pPr>
              <w:spacing w:line="300" w:lineRule="auto"/>
              <w:jc w:val="center"/>
              <w:rPr>
                <w:rFonts w:ascii="Times New Roman" w:hAnsi="Times New Roman"/>
                <w:color w:val="000000"/>
                <w:szCs w:val="21"/>
              </w:rPr>
            </w:pPr>
            <w:r>
              <w:rPr>
                <w:rFonts w:ascii="Times New Roman" w:hAnsi="Times New Roman"/>
                <w:color w:val="000000"/>
                <w:szCs w:val="21"/>
              </w:rPr>
              <w:t>……</w:t>
            </w:r>
          </w:p>
        </w:tc>
        <w:tc>
          <w:tcPr>
            <w:tcW w:w="768" w:type="dxa"/>
            <w:vAlign w:val="center"/>
          </w:tcPr>
          <w:p w14:paraId="6C2A71C2">
            <w:pPr>
              <w:spacing w:line="300" w:lineRule="auto"/>
              <w:jc w:val="center"/>
              <w:rPr>
                <w:rFonts w:ascii="Times New Roman" w:hAnsi="Times New Roman"/>
                <w:color w:val="000000"/>
                <w:szCs w:val="21"/>
              </w:rPr>
            </w:pPr>
          </w:p>
        </w:tc>
      </w:tr>
    </w:tbl>
    <w:p w14:paraId="4660100C">
      <w:pPr>
        <w:spacing w:line="300" w:lineRule="auto"/>
        <w:ind w:left="840" w:leftChars="400" w:firstLine="2200" w:firstLineChars="1100"/>
        <w:rPr>
          <w:rFonts w:ascii="Times New Roman" w:hAnsi="Times New Roman" w:eastAsia="黑体"/>
          <w:color w:val="000000"/>
          <w:sz w:val="20"/>
        </w:rPr>
      </w:pPr>
    </w:p>
    <w:p w14:paraId="6E548841">
      <w:pPr>
        <w:spacing w:line="300" w:lineRule="auto"/>
        <w:jc w:val="center"/>
        <w:rPr>
          <w:rFonts w:ascii="Times New Roman" w:hAnsi="Times New Roman" w:eastAsia="黑体"/>
          <w:color w:val="000000"/>
          <w:sz w:val="20"/>
        </w:rPr>
      </w:pPr>
      <w:r>
        <w:rPr>
          <w:rFonts w:ascii="Times New Roman" w:hAnsi="Times New Roman" w:eastAsia="黑体"/>
          <w:color w:val="000000"/>
          <w:sz w:val="20"/>
        </w:rPr>
        <w:br w:type="page"/>
      </w:r>
    </w:p>
    <w:p w14:paraId="3BFC1508">
      <w:pPr>
        <w:pStyle w:val="3"/>
        <w:spacing w:before="0" w:after="0" w:line="300" w:lineRule="auto"/>
        <w:jc w:val="center"/>
        <w:rPr>
          <w:rFonts w:ascii="Times New Roman" w:hAnsi="Times New Roman"/>
          <w:color w:val="000000"/>
        </w:rPr>
      </w:pPr>
      <w:bookmarkStart w:id="713" w:name="_Toc144974860"/>
      <w:bookmarkStart w:id="714" w:name="_Toc9855"/>
      <w:bookmarkStart w:id="715" w:name="_Toc246996359"/>
      <w:bookmarkStart w:id="716" w:name="_Toc296602605"/>
      <w:bookmarkStart w:id="717" w:name="_Toc31569"/>
      <w:bookmarkStart w:id="718" w:name="_Toc246997102"/>
      <w:bookmarkStart w:id="719" w:name="_Toc152042580"/>
      <w:bookmarkStart w:id="720" w:name="_Toc152045791"/>
      <w:bookmarkStart w:id="721" w:name="_Toc247085877"/>
      <w:bookmarkStart w:id="722" w:name="_Toc13317"/>
      <w:r>
        <w:rPr>
          <w:rFonts w:ascii="Times New Roman" w:hAnsi="Times New Roman"/>
          <w:color w:val="000000"/>
        </w:rPr>
        <w:t>（二）法定代表人身份证明</w:t>
      </w:r>
      <w:bookmarkEnd w:id="713"/>
      <w:bookmarkEnd w:id="714"/>
      <w:bookmarkEnd w:id="715"/>
      <w:bookmarkEnd w:id="716"/>
      <w:bookmarkEnd w:id="717"/>
      <w:bookmarkEnd w:id="718"/>
      <w:bookmarkEnd w:id="719"/>
      <w:bookmarkEnd w:id="720"/>
      <w:bookmarkEnd w:id="721"/>
      <w:bookmarkEnd w:id="722"/>
    </w:p>
    <w:p w14:paraId="50BFB1A4">
      <w:pPr>
        <w:spacing w:line="300" w:lineRule="auto"/>
        <w:rPr>
          <w:rFonts w:ascii="Times New Roman" w:hAnsi="Times New Roman"/>
          <w:color w:val="000000"/>
          <w:sz w:val="20"/>
        </w:rPr>
      </w:pPr>
    </w:p>
    <w:p w14:paraId="650EC355">
      <w:pPr>
        <w:spacing w:line="300" w:lineRule="auto"/>
        <w:rPr>
          <w:rFonts w:ascii="Times New Roman" w:hAnsi="Times New Roman"/>
          <w:color w:val="000000"/>
          <w:szCs w:val="21"/>
        </w:rPr>
      </w:pPr>
    </w:p>
    <w:p w14:paraId="02687D28">
      <w:pPr>
        <w:spacing w:line="300" w:lineRule="auto"/>
        <w:rPr>
          <w:rFonts w:ascii="Times New Roman" w:hAnsi="Times New Roman"/>
          <w:color w:val="000000"/>
          <w:szCs w:val="21"/>
        </w:rPr>
      </w:pPr>
      <w:r>
        <w:rPr>
          <w:rFonts w:ascii="Times New Roman" w:hAnsi="Times New Roman"/>
          <w:color w:val="000000"/>
          <w:szCs w:val="21"/>
        </w:rPr>
        <w:t>名称：</w:t>
      </w:r>
      <w:r>
        <w:rPr>
          <w:rFonts w:ascii="Times New Roman" w:hAnsi="Times New Roman"/>
          <w:color w:val="000000"/>
          <w:szCs w:val="21"/>
          <w:u w:val="single"/>
        </w:rPr>
        <w:t xml:space="preserve">                            </w:t>
      </w:r>
      <w:r>
        <w:rPr>
          <w:rFonts w:ascii="Times New Roman" w:hAnsi="Times New Roman"/>
          <w:color w:val="000000"/>
          <w:szCs w:val="21"/>
        </w:rPr>
        <w:t xml:space="preserve"> </w:t>
      </w:r>
    </w:p>
    <w:p w14:paraId="7D9622DF">
      <w:pPr>
        <w:spacing w:line="300" w:lineRule="auto"/>
        <w:rPr>
          <w:rFonts w:ascii="Times New Roman" w:hAnsi="Times New Roman"/>
          <w:color w:val="000000"/>
          <w:szCs w:val="21"/>
        </w:rPr>
      </w:pPr>
      <w:r>
        <w:rPr>
          <w:rFonts w:ascii="Times New Roman" w:hAnsi="Times New Roman"/>
          <w:color w:val="000000"/>
          <w:szCs w:val="21"/>
        </w:rPr>
        <w:t>单位性质：</w:t>
      </w:r>
      <w:r>
        <w:rPr>
          <w:rFonts w:ascii="Times New Roman" w:hAnsi="Times New Roman"/>
          <w:color w:val="000000"/>
          <w:szCs w:val="21"/>
          <w:u w:val="single"/>
        </w:rPr>
        <w:t xml:space="preserve">                               </w:t>
      </w:r>
      <w:r>
        <w:rPr>
          <w:rFonts w:ascii="Times New Roman" w:hAnsi="Times New Roman"/>
          <w:color w:val="000000"/>
          <w:szCs w:val="21"/>
        </w:rPr>
        <w:t xml:space="preserve"> </w:t>
      </w:r>
    </w:p>
    <w:p w14:paraId="03C4BFD3">
      <w:pPr>
        <w:spacing w:line="300" w:lineRule="auto"/>
        <w:rPr>
          <w:rFonts w:ascii="Times New Roman" w:hAnsi="Times New Roman"/>
          <w:color w:val="000000"/>
          <w:szCs w:val="21"/>
        </w:rPr>
      </w:pPr>
      <w:r>
        <w:rPr>
          <w:rFonts w:ascii="Times New Roman" w:hAnsi="Times New Roman"/>
          <w:color w:val="000000"/>
          <w:szCs w:val="21"/>
        </w:rPr>
        <w:t>地址：</w:t>
      </w:r>
      <w:r>
        <w:rPr>
          <w:rFonts w:ascii="Times New Roman" w:hAnsi="Times New Roman"/>
          <w:color w:val="000000"/>
          <w:szCs w:val="21"/>
          <w:u w:val="single"/>
        </w:rPr>
        <w:t xml:space="preserve">                                   </w:t>
      </w:r>
    </w:p>
    <w:p w14:paraId="2DFFC0F8">
      <w:pPr>
        <w:spacing w:line="300" w:lineRule="auto"/>
        <w:rPr>
          <w:rFonts w:ascii="Times New Roman" w:hAnsi="Times New Roman"/>
          <w:color w:val="000000"/>
          <w:szCs w:val="21"/>
        </w:rPr>
      </w:pPr>
      <w:r>
        <w:rPr>
          <w:rFonts w:ascii="Times New Roman" w:hAnsi="Times New Roman"/>
          <w:color w:val="000000"/>
          <w:szCs w:val="21"/>
        </w:rPr>
        <w:t>成立时间：</w:t>
      </w: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p>
    <w:p w14:paraId="479AB03A">
      <w:pPr>
        <w:spacing w:line="300" w:lineRule="auto"/>
        <w:rPr>
          <w:rFonts w:ascii="Times New Roman" w:hAnsi="Times New Roman"/>
          <w:color w:val="000000"/>
          <w:szCs w:val="21"/>
        </w:rPr>
      </w:pPr>
      <w:r>
        <w:rPr>
          <w:rFonts w:ascii="Times New Roman" w:hAnsi="Times New Roman"/>
          <w:color w:val="000000"/>
          <w:szCs w:val="21"/>
        </w:rPr>
        <w:t>经营期限：</w:t>
      </w:r>
      <w:r>
        <w:rPr>
          <w:rFonts w:ascii="Times New Roman" w:hAnsi="Times New Roman"/>
          <w:color w:val="000000"/>
          <w:szCs w:val="21"/>
          <w:u w:val="single"/>
        </w:rPr>
        <w:t xml:space="preserve">                               </w:t>
      </w:r>
    </w:p>
    <w:p w14:paraId="14677B83">
      <w:pPr>
        <w:spacing w:line="300" w:lineRule="auto"/>
        <w:rPr>
          <w:rFonts w:ascii="Times New Roman" w:hAnsi="Times New Roman"/>
          <w:color w:val="000000"/>
          <w:szCs w:val="21"/>
        </w:rPr>
      </w:pPr>
      <w:r>
        <w:rPr>
          <w:rFonts w:ascii="Times New Roman" w:hAnsi="Times New Roman"/>
          <w:color w:val="000000"/>
          <w:szCs w:val="21"/>
        </w:rPr>
        <w:t>姓名：</w:t>
      </w:r>
      <w:r>
        <w:rPr>
          <w:rFonts w:ascii="Times New Roman" w:hAnsi="Times New Roman"/>
          <w:color w:val="000000"/>
          <w:szCs w:val="21"/>
          <w:u w:val="single"/>
        </w:rPr>
        <w:t xml:space="preserve">         </w:t>
      </w:r>
      <w:r>
        <w:rPr>
          <w:rFonts w:ascii="Times New Roman" w:hAnsi="Times New Roman"/>
          <w:color w:val="000000"/>
          <w:szCs w:val="21"/>
        </w:rPr>
        <w:t xml:space="preserve"> 性别：</w:t>
      </w:r>
      <w:r>
        <w:rPr>
          <w:rFonts w:ascii="Times New Roman" w:hAnsi="Times New Roman"/>
          <w:color w:val="000000"/>
          <w:szCs w:val="21"/>
          <w:u w:val="single"/>
        </w:rPr>
        <w:t xml:space="preserve">         </w:t>
      </w:r>
      <w:r>
        <w:rPr>
          <w:rFonts w:ascii="Times New Roman" w:hAnsi="Times New Roman"/>
          <w:color w:val="000000"/>
          <w:szCs w:val="21"/>
        </w:rPr>
        <w:t>年龄：</w:t>
      </w:r>
      <w:r>
        <w:rPr>
          <w:rFonts w:ascii="Times New Roman" w:hAnsi="Times New Roman"/>
          <w:color w:val="000000"/>
          <w:szCs w:val="21"/>
          <w:u w:val="single"/>
        </w:rPr>
        <w:t xml:space="preserve">        </w:t>
      </w:r>
      <w:r>
        <w:rPr>
          <w:rFonts w:ascii="Times New Roman" w:hAnsi="Times New Roman"/>
          <w:color w:val="000000"/>
          <w:szCs w:val="21"/>
        </w:rPr>
        <w:t>职务：</w:t>
      </w:r>
      <w:r>
        <w:rPr>
          <w:rFonts w:ascii="Times New Roman" w:hAnsi="Times New Roman"/>
          <w:color w:val="000000"/>
          <w:szCs w:val="21"/>
          <w:u w:val="single"/>
        </w:rPr>
        <w:t xml:space="preserve">        </w:t>
      </w:r>
    </w:p>
    <w:p w14:paraId="60FA0D48">
      <w:pPr>
        <w:spacing w:line="300" w:lineRule="auto"/>
        <w:rPr>
          <w:rFonts w:ascii="Times New Roman" w:hAnsi="Times New Roman"/>
          <w:color w:val="000000"/>
          <w:szCs w:val="21"/>
        </w:rPr>
      </w:pPr>
      <w:r>
        <w:rPr>
          <w:rFonts w:ascii="Times New Roman" w:hAnsi="Times New Roman"/>
          <w:color w:val="000000"/>
          <w:szCs w:val="21"/>
        </w:rPr>
        <w:t>系</w:t>
      </w:r>
      <w:r>
        <w:rPr>
          <w:rFonts w:ascii="Times New Roman" w:hAnsi="Times New Roman"/>
          <w:color w:val="000000"/>
          <w:szCs w:val="21"/>
          <w:u w:val="single"/>
        </w:rPr>
        <w:t xml:space="preserve">                             </w:t>
      </w:r>
      <w:r>
        <w:rPr>
          <w:rFonts w:ascii="Times New Roman" w:hAnsi="Times New Roman"/>
          <w:color w:val="000000"/>
          <w:szCs w:val="21"/>
        </w:rPr>
        <w:t xml:space="preserve"> （名称）的法定代表人。</w:t>
      </w:r>
    </w:p>
    <w:p w14:paraId="73DC61F0">
      <w:pPr>
        <w:spacing w:line="300" w:lineRule="auto"/>
        <w:ind w:firstLine="420" w:firstLineChars="200"/>
        <w:rPr>
          <w:rFonts w:ascii="Times New Roman" w:hAnsi="Times New Roman"/>
          <w:color w:val="000000"/>
          <w:szCs w:val="21"/>
        </w:rPr>
      </w:pPr>
      <w:r>
        <w:rPr>
          <w:rFonts w:ascii="Times New Roman" w:hAnsi="Times New Roman"/>
          <w:color w:val="000000"/>
          <w:szCs w:val="21"/>
        </w:rPr>
        <w:t>特此证明。</w:t>
      </w:r>
    </w:p>
    <w:p w14:paraId="68A62BC5">
      <w:pPr>
        <w:spacing w:line="300" w:lineRule="auto"/>
        <w:rPr>
          <w:rFonts w:ascii="Times New Roman" w:hAnsi="Times New Roman"/>
          <w:color w:val="000000"/>
          <w:szCs w:val="21"/>
        </w:rPr>
      </w:pPr>
    </w:p>
    <w:p w14:paraId="49EA20DF">
      <w:pPr>
        <w:spacing w:line="300" w:lineRule="auto"/>
        <w:rPr>
          <w:rFonts w:ascii="Times New Roman" w:hAnsi="Times New Roman"/>
          <w:color w:val="000000"/>
          <w:szCs w:val="21"/>
        </w:rPr>
      </w:pPr>
    </w:p>
    <w:p w14:paraId="35FBF1F7">
      <w:pPr>
        <w:spacing w:line="300" w:lineRule="auto"/>
        <w:jc w:val="right"/>
        <w:rPr>
          <w:rFonts w:ascii="Times New Roman" w:hAnsi="Times New Roman"/>
          <w:color w:val="000000"/>
          <w:szCs w:val="21"/>
        </w:rPr>
      </w:pPr>
      <w:r>
        <w:rPr>
          <w:rFonts w:ascii="Times New Roman" w:hAnsi="Times New Roman"/>
          <w:color w:val="000000"/>
          <w:szCs w:val="21"/>
        </w:rPr>
        <w:t xml:space="preserve">                          投标人：</w:t>
      </w:r>
      <w:r>
        <w:rPr>
          <w:rFonts w:ascii="Times New Roman" w:hAnsi="Times New Roman"/>
          <w:color w:val="000000"/>
          <w:szCs w:val="21"/>
          <w:u w:val="single"/>
        </w:rPr>
        <w:t xml:space="preserve">                      </w:t>
      </w:r>
      <w:r>
        <w:rPr>
          <w:rFonts w:ascii="Times New Roman" w:hAnsi="Times New Roman"/>
          <w:color w:val="000000"/>
          <w:szCs w:val="21"/>
        </w:rPr>
        <w:t>（盖单位章）</w:t>
      </w:r>
    </w:p>
    <w:p w14:paraId="1D7E5A3D">
      <w:pPr>
        <w:spacing w:line="300" w:lineRule="auto"/>
        <w:jc w:val="center"/>
        <w:rPr>
          <w:rFonts w:ascii="Times New Roman" w:hAnsi="Times New Roman"/>
          <w:color w:val="000000"/>
          <w:szCs w:val="21"/>
        </w:rPr>
      </w:pPr>
      <w:r>
        <w:rPr>
          <w:rFonts w:ascii="Times New Roman" w:hAnsi="Times New Roman"/>
          <w:color w:val="000000"/>
          <w:szCs w:val="21"/>
        </w:rPr>
        <w:t xml:space="preserve">                                 </w:t>
      </w: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p>
    <w:p w14:paraId="135890E8">
      <w:pPr>
        <w:spacing w:line="300" w:lineRule="auto"/>
        <w:jc w:val="center"/>
        <w:rPr>
          <w:rFonts w:ascii="Times New Roman" w:hAnsi="Times New Roman" w:eastAsia="黑体"/>
          <w:color w:val="000000"/>
          <w:sz w:val="20"/>
        </w:rPr>
      </w:pPr>
      <w:r>
        <w:rPr>
          <w:rFonts w:ascii="Times New Roman" w:hAnsi="Times New Roman" w:eastAsia="黑体"/>
          <w:color w:val="000000"/>
          <w:sz w:val="20"/>
        </w:rPr>
        <w:br w:type="page"/>
      </w:r>
    </w:p>
    <w:p w14:paraId="47BBD758">
      <w:pPr>
        <w:pStyle w:val="3"/>
        <w:spacing w:before="0" w:after="0" w:line="300" w:lineRule="auto"/>
        <w:jc w:val="center"/>
        <w:rPr>
          <w:rFonts w:ascii="Times New Roman" w:hAnsi="Times New Roman"/>
          <w:color w:val="000000"/>
        </w:rPr>
      </w:pPr>
      <w:bookmarkStart w:id="723" w:name="_Toc246997103"/>
      <w:bookmarkStart w:id="724" w:name="_Toc5335"/>
      <w:bookmarkStart w:id="725" w:name="_Toc11095"/>
      <w:bookmarkStart w:id="726" w:name="_Toc247085878"/>
      <w:bookmarkStart w:id="727" w:name="_Toc246996360"/>
      <w:bookmarkStart w:id="728" w:name="_Toc152045792"/>
      <w:bookmarkStart w:id="729" w:name="_Toc296602606"/>
      <w:bookmarkStart w:id="730" w:name="_Toc144974861"/>
      <w:bookmarkStart w:id="731" w:name="_Toc152042581"/>
      <w:bookmarkStart w:id="732" w:name="_Toc26882"/>
      <w:r>
        <w:rPr>
          <w:rFonts w:ascii="Times New Roman" w:hAnsi="Times New Roman"/>
          <w:color w:val="000000"/>
        </w:rPr>
        <w:t>授权委托书</w:t>
      </w:r>
      <w:bookmarkEnd w:id="723"/>
      <w:bookmarkEnd w:id="724"/>
      <w:bookmarkEnd w:id="725"/>
      <w:bookmarkEnd w:id="726"/>
      <w:bookmarkEnd w:id="727"/>
      <w:bookmarkEnd w:id="728"/>
      <w:bookmarkEnd w:id="729"/>
      <w:bookmarkEnd w:id="730"/>
      <w:bookmarkEnd w:id="731"/>
      <w:bookmarkEnd w:id="732"/>
    </w:p>
    <w:p w14:paraId="0C411441">
      <w:pPr>
        <w:spacing w:line="300" w:lineRule="auto"/>
        <w:rPr>
          <w:rFonts w:ascii="Times New Roman" w:hAnsi="Times New Roman" w:eastAsia="黑体"/>
          <w:color w:val="000000"/>
          <w:szCs w:val="21"/>
        </w:rPr>
      </w:pPr>
    </w:p>
    <w:p w14:paraId="37B2A774">
      <w:pPr>
        <w:topLinePunct/>
        <w:spacing w:line="300" w:lineRule="auto"/>
        <w:ind w:firstLine="420" w:firstLineChars="200"/>
        <w:rPr>
          <w:rFonts w:ascii="Times New Roman" w:hAnsi="Times New Roman"/>
          <w:color w:val="000000"/>
          <w:szCs w:val="21"/>
        </w:rPr>
      </w:pPr>
      <w:r>
        <w:rPr>
          <w:rFonts w:ascii="Times New Roman" w:hAnsi="Times New Roman"/>
          <w:color w:val="000000"/>
          <w:szCs w:val="21"/>
        </w:rPr>
        <w:t>本人</w:t>
      </w:r>
      <w:r>
        <w:rPr>
          <w:rFonts w:ascii="Times New Roman" w:hAnsi="Times New Roman"/>
          <w:color w:val="000000"/>
          <w:szCs w:val="21"/>
          <w:u w:val="single"/>
        </w:rPr>
        <w:t xml:space="preserve">       </w:t>
      </w:r>
      <w:r>
        <w:rPr>
          <w:rFonts w:ascii="Times New Roman" w:hAnsi="Times New Roman"/>
          <w:color w:val="000000"/>
          <w:szCs w:val="21"/>
        </w:rPr>
        <w:t>（姓名）系</w:t>
      </w:r>
      <w:r>
        <w:rPr>
          <w:rFonts w:ascii="Times New Roman" w:hAnsi="Times New Roman"/>
          <w:color w:val="000000"/>
          <w:szCs w:val="21"/>
          <w:u w:val="single"/>
        </w:rPr>
        <w:t xml:space="preserve">        </w:t>
      </w:r>
      <w:r>
        <w:rPr>
          <w:rFonts w:ascii="Times New Roman" w:hAnsi="Times New Roman"/>
          <w:color w:val="000000"/>
          <w:szCs w:val="21"/>
        </w:rPr>
        <w:t>（名称）的法定代表人，现委托</w:t>
      </w:r>
      <w:r>
        <w:rPr>
          <w:rFonts w:ascii="Times New Roman" w:hAnsi="Times New Roman"/>
          <w:color w:val="000000"/>
          <w:szCs w:val="21"/>
          <w:u w:val="single"/>
        </w:rPr>
        <w:t xml:space="preserve">        </w:t>
      </w:r>
      <w:r>
        <w:rPr>
          <w:rFonts w:ascii="Times New Roman" w:hAnsi="Times New Roman"/>
          <w:color w:val="000000"/>
          <w:szCs w:val="21"/>
        </w:rPr>
        <w:t>（姓名）为我方代理人。代理人根据授权，以我方名义签署、澄清、说明、补正、递交、撤回、修改</w:t>
      </w:r>
      <w:r>
        <w:rPr>
          <w:rFonts w:ascii="Times New Roman" w:hAnsi="Times New Roman"/>
          <w:color w:val="000000"/>
          <w:szCs w:val="21"/>
          <w:u w:val="single"/>
        </w:rPr>
        <w:t xml:space="preserve">           </w:t>
      </w:r>
      <w:r>
        <w:rPr>
          <w:rFonts w:ascii="Times New Roman" w:hAnsi="Times New Roman"/>
          <w:color w:val="000000"/>
          <w:szCs w:val="21"/>
        </w:rPr>
        <w:t>（项目名称）投标文件、签订合同和处理有关事宜，其法律后果由我方承担。</w:t>
      </w:r>
    </w:p>
    <w:p w14:paraId="5BCEDC90">
      <w:pPr>
        <w:spacing w:line="300" w:lineRule="auto"/>
        <w:rPr>
          <w:rFonts w:ascii="Times New Roman" w:hAnsi="Times New Roman"/>
          <w:color w:val="000000"/>
          <w:szCs w:val="21"/>
        </w:rPr>
      </w:pPr>
      <w:r>
        <w:rPr>
          <w:rFonts w:ascii="Times New Roman" w:hAnsi="Times New Roman"/>
          <w:color w:val="000000"/>
          <w:szCs w:val="21"/>
        </w:rPr>
        <w:t xml:space="preserve">    委托期限：</w:t>
      </w:r>
      <w:r>
        <w:rPr>
          <w:rFonts w:ascii="Times New Roman" w:hAnsi="Times New Roman"/>
          <w:color w:val="000000"/>
          <w:szCs w:val="21"/>
          <w:u w:val="single"/>
        </w:rPr>
        <w:t xml:space="preserve">             </w:t>
      </w:r>
      <w:r>
        <w:rPr>
          <w:rFonts w:ascii="Times New Roman" w:hAnsi="Times New Roman"/>
          <w:color w:val="000000"/>
          <w:szCs w:val="21"/>
        </w:rPr>
        <w:t>。</w:t>
      </w:r>
    </w:p>
    <w:p w14:paraId="29F06ED5">
      <w:pPr>
        <w:spacing w:line="300" w:lineRule="auto"/>
        <w:ind w:firstLine="420" w:firstLineChars="200"/>
        <w:rPr>
          <w:rFonts w:ascii="Times New Roman" w:hAnsi="Times New Roman"/>
          <w:color w:val="000000"/>
          <w:szCs w:val="21"/>
        </w:rPr>
      </w:pPr>
      <w:r>
        <w:rPr>
          <w:rFonts w:ascii="Times New Roman" w:hAnsi="Times New Roman"/>
          <w:color w:val="000000"/>
          <w:szCs w:val="21"/>
        </w:rPr>
        <w:t>代理人无转委托权。</w:t>
      </w:r>
    </w:p>
    <w:p w14:paraId="07D8B826">
      <w:pPr>
        <w:spacing w:line="300" w:lineRule="auto"/>
        <w:ind w:firstLine="420" w:firstLineChars="200"/>
        <w:rPr>
          <w:rFonts w:ascii="Times New Roman" w:hAnsi="Times New Roman"/>
          <w:color w:val="000000"/>
          <w:szCs w:val="21"/>
        </w:rPr>
      </w:pPr>
      <w:r>
        <w:rPr>
          <w:rFonts w:ascii="Times New Roman" w:hAnsi="Times New Roman"/>
          <w:color w:val="000000"/>
          <w:szCs w:val="21"/>
        </w:rPr>
        <w:t>附：法定代表人身份证明、授权代表身份证复印件；</w:t>
      </w:r>
    </w:p>
    <w:p w14:paraId="201D4A52">
      <w:pPr>
        <w:spacing w:line="300" w:lineRule="auto"/>
        <w:rPr>
          <w:rFonts w:ascii="Times New Roman" w:hAnsi="Times New Roman"/>
          <w:color w:val="000000"/>
          <w:szCs w:val="21"/>
        </w:rPr>
      </w:pPr>
    </w:p>
    <w:p w14:paraId="1EB8EE54">
      <w:pPr>
        <w:spacing w:line="300" w:lineRule="auto"/>
        <w:rPr>
          <w:rFonts w:ascii="Times New Roman" w:hAnsi="Times New Roman"/>
          <w:color w:val="000000"/>
          <w:szCs w:val="21"/>
        </w:rPr>
      </w:pPr>
    </w:p>
    <w:p w14:paraId="379BCB62">
      <w:pPr>
        <w:spacing w:line="300" w:lineRule="auto"/>
        <w:rPr>
          <w:rFonts w:ascii="Times New Roman" w:hAnsi="Times New Roman"/>
          <w:color w:val="000000"/>
          <w:szCs w:val="21"/>
        </w:rPr>
      </w:pPr>
      <w:r>
        <w:rPr>
          <w:rFonts w:ascii="Times New Roman" w:hAnsi="Times New Roman"/>
          <w:color w:val="000000"/>
          <w:szCs w:val="21"/>
        </w:rPr>
        <w:t>投 标 人：</w:t>
      </w:r>
      <w:r>
        <w:rPr>
          <w:rFonts w:ascii="Times New Roman" w:hAnsi="Times New Roman"/>
          <w:color w:val="000000"/>
          <w:szCs w:val="21"/>
          <w:u w:val="single"/>
        </w:rPr>
        <w:t xml:space="preserve">                               </w:t>
      </w:r>
      <w:r>
        <w:rPr>
          <w:rFonts w:ascii="Times New Roman" w:hAnsi="Times New Roman"/>
          <w:color w:val="000000"/>
          <w:szCs w:val="21"/>
        </w:rPr>
        <w:t>（盖单位章）</w:t>
      </w:r>
    </w:p>
    <w:p w14:paraId="6ED63149">
      <w:pPr>
        <w:spacing w:line="300" w:lineRule="auto"/>
        <w:rPr>
          <w:rFonts w:ascii="Times New Roman" w:hAnsi="Times New Roman"/>
          <w:color w:val="000000"/>
          <w:szCs w:val="21"/>
        </w:rPr>
      </w:pPr>
    </w:p>
    <w:p w14:paraId="2A2DB0B0">
      <w:pPr>
        <w:spacing w:line="300" w:lineRule="auto"/>
        <w:rPr>
          <w:rFonts w:ascii="Times New Roman" w:hAnsi="Times New Roman"/>
          <w:color w:val="000000"/>
          <w:szCs w:val="21"/>
        </w:rPr>
      </w:pPr>
      <w:r>
        <w:rPr>
          <w:rFonts w:ascii="Times New Roman" w:hAnsi="Times New Roman"/>
          <w:color w:val="000000"/>
          <w:szCs w:val="21"/>
        </w:rPr>
        <w:t>法定代表人：</w:t>
      </w:r>
      <w:r>
        <w:rPr>
          <w:rFonts w:ascii="Times New Roman" w:hAnsi="Times New Roman"/>
          <w:color w:val="000000"/>
          <w:szCs w:val="21"/>
          <w:u w:val="single"/>
        </w:rPr>
        <w:t xml:space="preserve">                               </w:t>
      </w:r>
      <w:r>
        <w:rPr>
          <w:rFonts w:ascii="Times New Roman" w:hAnsi="Times New Roman"/>
          <w:color w:val="000000"/>
          <w:szCs w:val="21"/>
        </w:rPr>
        <w:t>（签字并盖章）</w:t>
      </w:r>
    </w:p>
    <w:p w14:paraId="35E00A75">
      <w:pPr>
        <w:spacing w:line="300" w:lineRule="auto"/>
        <w:rPr>
          <w:rFonts w:ascii="Times New Roman" w:hAnsi="Times New Roman"/>
          <w:color w:val="000000"/>
          <w:szCs w:val="21"/>
        </w:rPr>
      </w:pPr>
    </w:p>
    <w:p w14:paraId="6EFDFF05">
      <w:pPr>
        <w:spacing w:line="300" w:lineRule="auto"/>
        <w:rPr>
          <w:rFonts w:ascii="Times New Roman" w:hAnsi="Times New Roman"/>
          <w:color w:val="000000"/>
          <w:szCs w:val="21"/>
        </w:rPr>
      </w:pPr>
      <w:r>
        <w:rPr>
          <w:rFonts w:ascii="Times New Roman" w:hAnsi="Times New Roman"/>
          <w:color w:val="000000"/>
          <w:szCs w:val="21"/>
        </w:rPr>
        <w:t>身份证号码：</w:t>
      </w:r>
      <w:r>
        <w:rPr>
          <w:rFonts w:ascii="Times New Roman" w:hAnsi="Times New Roman"/>
          <w:color w:val="000000"/>
          <w:szCs w:val="21"/>
          <w:u w:val="single"/>
        </w:rPr>
        <w:t xml:space="preserve">                                     </w:t>
      </w:r>
    </w:p>
    <w:p w14:paraId="212D5ED3">
      <w:pPr>
        <w:spacing w:line="300" w:lineRule="auto"/>
        <w:rPr>
          <w:rFonts w:ascii="Times New Roman" w:hAnsi="Times New Roman"/>
          <w:color w:val="000000"/>
          <w:szCs w:val="21"/>
        </w:rPr>
      </w:pPr>
    </w:p>
    <w:p w14:paraId="649B8FCE">
      <w:pPr>
        <w:spacing w:line="300" w:lineRule="auto"/>
        <w:rPr>
          <w:rFonts w:ascii="Times New Roman" w:hAnsi="Times New Roman"/>
          <w:color w:val="000000"/>
          <w:szCs w:val="21"/>
        </w:rPr>
      </w:pPr>
      <w:r>
        <w:rPr>
          <w:rFonts w:ascii="Times New Roman" w:hAnsi="Times New Roman"/>
          <w:color w:val="000000"/>
          <w:szCs w:val="21"/>
        </w:rPr>
        <w:t>委托代理人：</w:t>
      </w:r>
      <w:r>
        <w:rPr>
          <w:rFonts w:ascii="Times New Roman" w:hAnsi="Times New Roman"/>
          <w:color w:val="000000"/>
          <w:szCs w:val="21"/>
          <w:u w:val="single"/>
        </w:rPr>
        <w:t xml:space="preserve">                                   </w:t>
      </w:r>
      <w:r>
        <w:rPr>
          <w:rFonts w:ascii="Times New Roman" w:hAnsi="Times New Roman"/>
          <w:color w:val="000000"/>
          <w:szCs w:val="21"/>
        </w:rPr>
        <w:t xml:space="preserve">（签字） </w:t>
      </w:r>
    </w:p>
    <w:p w14:paraId="3EE8B2CB">
      <w:pPr>
        <w:spacing w:line="300" w:lineRule="auto"/>
        <w:rPr>
          <w:rFonts w:ascii="Times New Roman" w:hAnsi="Times New Roman"/>
          <w:color w:val="000000"/>
          <w:szCs w:val="21"/>
        </w:rPr>
      </w:pPr>
    </w:p>
    <w:p w14:paraId="001FF13D">
      <w:pPr>
        <w:spacing w:line="300" w:lineRule="auto"/>
        <w:rPr>
          <w:rFonts w:ascii="Times New Roman" w:hAnsi="Times New Roman"/>
          <w:color w:val="000000"/>
          <w:szCs w:val="21"/>
        </w:rPr>
      </w:pPr>
      <w:r>
        <w:rPr>
          <w:rFonts w:ascii="Times New Roman" w:hAnsi="Times New Roman"/>
          <w:color w:val="000000"/>
          <w:szCs w:val="21"/>
        </w:rPr>
        <w:t>身份证号码：</w:t>
      </w:r>
      <w:r>
        <w:rPr>
          <w:rFonts w:ascii="Times New Roman" w:hAnsi="Times New Roman"/>
          <w:color w:val="000000"/>
          <w:szCs w:val="21"/>
          <w:u w:val="single"/>
        </w:rPr>
        <w:t xml:space="preserve">                                      </w:t>
      </w:r>
    </w:p>
    <w:p w14:paraId="64765C51">
      <w:pPr>
        <w:spacing w:line="300" w:lineRule="auto"/>
        <w:rPr>
          <w:rFonts w:ascii="Times New Roman" w:hAnsi="Times New Roman"/>
          <w:color w:val="000000"/>
          <w:szCs w:val="21"/>
        </w:rPr>
      </w:pPr>
    </w:p>
    <w:p w14:paraId="2BC0813F">
      <w:pPr>
        <w:spacing w:line="300" w:lineRule="auto"/>
        <w:rPr>
          <w:rFonts w:ascii="Times New Roman" w:hAnsi="Times New Roman"/>
          <w:color w:val="000000"/>
          <w:szCs w:val="21"/>
        </w:rPr>
      </w:pPr>
    </w:p>
    <w:p w14:paraId="132B0C61">
      <w:pPr>
        <w:spacing w:line="300" w:lineRule="auto"/>
        <w:ind w:firstLine="4830" w:firstLineChars="2300"/>
        <w:rPr>
          <w:rFonts w:ascii="Times New Roman" w:hAnsi="Times New Roman" w:eastAsia="黑体"/>
          <w:color w:val="000000"/>
          <w:szCs w:val="21"/>
        </w:rPr>
      </w:pP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p>
    <w:p w14:paraId="7586AB71">
      <w:pPr>
        <w:spacing w:line="300" w:lineRule="auto"/>
        <w:ind w:left="482" w:hanging="482" w:hangingChars="200"/>
        <w:rPr>
          <w:rFonts w:ascii="Times New Roman" w:hAnsi="Times New Roman" w:eastAsia="楷体_GB2312"/>
          <w:b/>
          <w:color w:val="000000"/>
          <w:kern w:val="0"/>
          <w:sz w:val="24"/>
          <w:lang w:val="zh-CN"/>
        </w:rPr>
      </w:pPr>
    </w:p>
    <w:p w14:paraId="4A6C15D2">
      <w:pPr>
        <w:spacing w:line="300" w:lineRule="auto"/>
        <w:ind w:left="482" w:hanging="482" w:hangingChars="200"/>
        <w:rPr>
          <w:rFonts w:ascii="Times New Roman" w:hAnsi="Times New Roman" w:eastAsia="楷体_GB2312"/>
          <w:b/>
          <w:color w:val="000000"/>
          <w:kern w:val="0"/>
          <w:sz w:val="24"/>
          <w:lang w:val="zh-CN"/>
        </w:rPr>
      </w:pPr>
    </w:p>
    <w:p w14:paraId="2F8DF839">
      <w:pPr>
        <w:spacing w:line="300" w:lineRule="auto"/>
        <w:ind w:left="482" w:hanging="482" w:hangingChars="200"/>
        <w:rPr>
          <w:rFonts w:ascii="Times New Roman" w:hAnsi="Times New Roman" w:eastAsia="楷体_GB2312"/>
          <w:b/>
          <w:color w:val="000000"/>
          <w:kern w:val="0"/>
          <w:sz w:val="24"/>
          <w:lang w:val="zh-CN"/>
        </w:rPr>
      </w:pPr>
      <w:r>
        <w:rPr>
          <w:rFonts w:ascii="Times New Roman" w:hAnsi="Times New Roman" w:eastAsia="楷体_GB2312"/>
          <w:b/>
          <w:color w:val="000000"/>
          <w:kern w:val="0"/>
          <w:sz w:val="24"/>
          <w:lang w:val="zh-CN"/>
        </w:rPr>
        <w:t>注：本“授权委托书”除装订在投标文件中，另外需与“投标函”共同密封在一单独的信封内，与投标文件一同递交。</w:t>
      </w:r>
    </w:p>
    <w:p w14:paraId="747881DD">
      <w:pPr>
        <w:pStyle w:val="3"/>
        <w:spacing w:before="0" w:after="0" w:line="300" w:lineRule="auto"/>
        <w:jc w:val="center"/>
        <w:rPr>
          <w:rFonts w:ascii="Times New Roman" w:hAnsi="Times New Roman"/>
          <w:color w:val="000000"/>
        </w:rPr>
      </w:pPr>
      <w:r>
        <w:rPr>
          <w:rFonts w:ascii="Times New Roman" w:hAnsi="Times New Roman"/>
          <w:color w:val="000000"/>
          <w:sz w:val="20"/>
          <w:szCs w:val="20"/>
        </w:rPr>
        <w:br w:type="page"/>
      </w:r>
      <w:bookmarkStart w:id="733" w:name="_Toc15811"/>
      <w:bookmarkStart w:id="734" w:name="_Toc6576"/>
      <w:bookmarkStart w:id="735" w:name="_Toc7282"/>
      <w:r>
        <w:rPr>
          <w:rFonts w:ascii="Times New Roman" w:hAnsi="Times New Roman"/>
          <w:color w:val="000000"/>
        </w:rPr>
        <w:t>（三）开标一览表</w:t>
      </w:r>
      <w:bookmarkEnd w:id="733"/>
      <w:bookmarkEnd w:id="734"/>
      <w:bookmarkEnd w:id="735"/>
    </w:p>
    <w:p w14:paraId="4E1AEF59">
      <w:pPr>
        <w:spacing w:line="300" w:lineRule="auto"/>
        <w:ind w:firstLine="210" w:firstLineChars="100"/>
        <w:rPr>
          <w:rFonts w:ascii="Times New Roman" w:hAnsi="Times New Roman"/>
          <w:color w:val="000000"/>
        </w:rPr>
      </w:pPr>
      <w:r>
        <w:rPr>
          <w:rFonts w:ascii="Times New Roman" w:hAnsi="Times New Roman"/>
          <w:color w:val="000000"/>
        </w:rPr>
        <w:t>招标编号：</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53"/>
        <w:gridCol w:w="512"/>
        <w:gridCol w:w="1270"/>
        <w:gridCol w:w="873"/>
        <w:gridCol w:w="760"/>
        <w:gridCol w:w="1307"/>
        <w:gridCol w:w="53"/>
        <w:gridCol w:w="2808"/>
      </w:tblGrid>
      <w:tr w14:paraId="68A1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6" w:hRule="atLeast"/>
          <w:jc w:val="center"/>
        </w:trPr>
        <w:tc>
          <w:tcPr>
            <w:tcW w:w="4468" w:type="dxa"/>
            <w:gridSpan w:val="5"/>
            <w:vAlign w:val="center"/>
          </w:tcPr>
          <w:p w14:paraId="6F21B711">
            <w:pPr>
              <w:spacing w:line="300" w:lineRule="auto"/>
              <w:rPr>
                <w:rFonts w:ascii="Times New Roman" w:hAnsi="Times New Roman"/>
                <w:color w:val="000000"/>
              </w:rPr>
            </w:pPr>
            <w:r>
              <w:rPr>
                <w:rFonts w:ascii="Times New Roman" w:hAnsi="Times New Roman"/>
                <w:color w:val="000000"/>
              </w:rPr>
              <w:t>（盖章）：</w:t>
            </w:r>
          </w:p>
          <w:p w14:paraId="4729E60E">
            <w:pPr>
              <w:spacing w:line="300" w:lineRule="auto"/>
              <w:rPr>
                <w:rFonts w:ascii="Times New Roman" w:hAnsi="Times New Roman"/>
                <w:color w:val="000000"/>
              </w:rPr>
            </w:pPr>
            <w:r>
              <w:rPr>
                <w:rFonts w:ascii="Times New Roman" w:hAnsi="Times New Roman"/>
                <w:color w:val="000000"/>
              </w:rPr>
              <w:t>法定代表人：（签字或盖章）</w:t>
            </w:r>
          </w:p>
        </w:tc>
        <w:tc>
          <w:tcPr>
            <w:tcW w:w="1307" w:type="dxa"/>
            <w:vAlign w:val="center"/>
          </w:tcPr>
          <w:p w14:paraId="6E8E957D">
            <w:pPr>
              <w:spacing w:line="300" w:lineRule="auto"/>
              <w:rPr>
                <w:rFonts w:ascii="Times New Roman" w:hAnsi="Times New Roman"/>
                <w:color w:val="000000"/>
              </w:rPr>
            </w:pPr>
            <w:r>
              <w:rPr>
                <w:rFonts w:ascii="Times New Roman" w:hAnsi="Times New Roman"/>
                <w:color w:val="000000"/>
              </w:rPr>
              <w:t>资质等级</w:t>
            </w:r>
          </w:p>
        </w:tc>
        <w:tc>
          <w:tcPr>
            <w:tcW w:w="2861" w:type="dxa"/>
            <w:gridSpan w:val="2"/>
            <w:vAlign w:val="center"/>
          </w:tcPr>
          <w:p w14:paraId="12EBDABB">
            <w:pPr>
              <w:spacing w:line="300" w:lineRule="auto"/>
              <w:rPr>
                <w:rFonts w:ascii="Times New Roman" w:hAnsi="Times New Roman"/>
                <w:color w:val="000000"/>
              </w:rPr>
            </w:pPr>
          </w:p>
        </w:tc>
      </w:tr>
      <w:tr w14:paraId="2432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93" w:hRule="atLeast"/>
          <w:jc w:val="center"/>
        </w:trPr>
        <w:tc>
          <w:tcPr>
            <w:tcW w:w="8636" w:type="dxa"/>
            <w:gridSpan w:val="8"/>
            <w:vAlign w:val="center"/>
          </w:tcPr>
          <w:p w14:paraId="22A5918A">
            <w:pPr>
              <w:spacing w:line="300" w:lineRule="auto"/>
              <w:rPr>
                <w:rFonts w:ascii="Times New Roman" w:hAnsi="Times New Roman"/>
                <w:color w:val="000000"/>
              </w:rPr>
            </w:pPr>
            <w:r>
              <w:rPr>
                <w:rFonts w:ascii="Times New Roman" w:hAnsi="Times New Roman"/>
                <w:color w:val="000000"/>
              </w:rPr>
              <w:t>工程名称：</w:t>
            </w:r>
          </w:p>
        </w:tc>
      </w:tr>
      <w:tr w14:paraId="60F7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6" w:hRule="atLeast"/>
          <w:jc w:val="center"/>
        </w:trPr>
        <w:tc>
          <w:tcPr>
            <w:tcW w:w="8636" w:type="dxa"/>
            <w:gridSpan w:val="8"/>
            <w:vAlign w:val="center"/>
          </w:tcPr>
          <w:p w14:paraId="04A95AC0">
            <w:pPr>
              <w:spacing w:line="300" w:lineRule="auto"/>
              <w:rPr>
                <w:rFonts w:ascii="Times New Roman" w:hAnsi="Times New Roman"/>
                <w:color w:val="000000"/>
              </w:rPr>
            </w:pPr>
            <w:r>
              <w:rPr>
                <w:rFonts w:ascii="Times New Roman" w:hAnsi="Times New Roman"/>
                <w:color w:val="000000"/>
              </w:rPr>
              <w:t>总报价：大写：          元；（小写：        ）</w:t>
            </w:r>
          </w:p>
        </w:tc>
      </w:tr>
      <w:tr w14:paraId="4512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0" w:hRule="atLeast"/>
          <w:jc w:val="center"/>
        </w:trPr>
        <w:tc>
          <w:tcPr>
            <w:tcW w:w="1053" w:type="dxa"/>
            <w:vAlign w:val="center"/>
          </w:tcPr>
          <w:p w14:paraId="4DE0DF64">
            <w:pPr>
              <w:spacing w:line="300" w:lineRule="auto"/>
              <w:jc w:val="center"/>
              <w:rPr>
                <w:rFonts w:ascii="Times New Roman" w:hAnsi="Times New Roman"/>
                <w:color w:val="000000"/>
              </w:rPr>
            </w:pPr>
            <w:r>
              <w:rPr>
                <w:rFonts w:ascii="Times New Roman" w:hAnsi="Times New Roman"/>
                <w:color w:val="000000"/>
              </w:rPr>
              <w:t>工期要求</w:t>
            </w:r>
          </w:p>
        </w:tc>
        <w:tc>
          <w:tcPr>
            <w:tcW w:w="7583" w:type="dxa"/>
            <w:gridSpan w:val="7"/>
            <w:vAlign w:val="center"/>
          </w:tcPr>
          <w:p w14:paraId="2E4F8B66">
            <w:pPr>
              <w:spacing w:line="300" w:lineRule="auto"/>
              <w:rPr>
                <w:rFonts w:ascii="Times New Roman" w:hAnsi="Times New Roman"/>
                <w:color w:val="000000"/>
              </w:rPr>
            </w:pPr>
            <w:r>
              <w:rPr>
                <w:rFonts w:ascii="Times New Roman" w:hAnsi="Times New Roman"/>
                <w:color w:val="000000"/>
              </w:rPr>
              <w:t xml:space="preserve"> </w:t>
            </w:r>
            <w:r>
              <w:rPr>
                <w:rFonts w:hint="eastAsia" w:ascii="Times New Roman" w:hAnsi="Times New Roman"/>
                <w:color w:val="000000"/>
              </w:rPr>
              <w:t xml:space="preserve">  </w:t>
            </w:r>
            <w:r>
              <w:rPr>
                <w:rFonts w:ascii="Times New Roman" w:hAnsi="Times New Roman"/>
                <w:color w:val="000000"/>
              </w:rPr>
              <w:t xml:space="preserve"> </w:t>
            </w:r>
            <w:r>
              <w:rPr>
                <w:rFonts w:hint="eastAsia" w:ascii="Times New Roman" w:hAnsi="Times New Roman"/>
                <w:color w:val="000000"/>
              </w:rPr>
              <w:t>日历</w:t>
            </w:r>
            <w:r>
              <w:rPr>
                <w:rFonts w:ascii="Times New Roman" w:hAnsi="Times New Roman"/>
                <w:color w:val="000000"/>
              </w:rPr>
              <w:t>天</w:t>
            </w:r>
          </w:p>
        </w:tc>
      </w:tr>
      <w:tr w14:paraId="3730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0" w:hRule="atLeast"/>
          <w:jc w:val="center"/>
        </w:trPr>
        <w:tc>
          <w:tcPr>
            <w:tcW w:w="1565" w:type="dxa"/>
            <w:gridSpan w:val="2"/>
            <w:vAlign w:val="center"/>
          </w:tcPr>
          <w:p w14:paraId="06706F41">
            <w:pPr>
              <w:spacing w:line="300" w:lineRule="auto"/>
              <w:rPr>
                <w:rFonts w:ascii="Times New Roman" w:hAnsi="Times New Roman"/>
                <w:color w:val="000000"/>
              </w:rPr>
            </w:pPr>
            <w:r>
              <w:rPr>
                <w:rFonts w:ascii="Times New Roman" w:hAnsi="Times New Roman"/>
                <w:color w:val="000000"/>
              </w:rPr>
              <w:t>岗位名称</w:t>
            </w:r>
          </w:p>
        </w:tc>
        <w:tc>
          <w:tcPr>
            <w:tcW w:w="1270" w:type="dxa"/>
            <w:vAlign w:val="center"/>
          </w:tcPr>
          <w:p w14:paraId="597EE7D5">
            <w:pPr>
              <w:spacing w:line="300" w:lineRule="auto"/>
              <w:rPr>
                <w:rFonts w:ascii="Times New Roman" w:hAnsi="Times New Roman"/>
                <w:color w:val="000000"/>
              </w:rPr>
            </w:pPr>
            <w:r>
              <w:rPr>
                <w:rFonts w:ascii="Times New Roman" w:hAnsi="Times New Roman"/>
                <w:color w:val="000000"/>
              </w:rPr>
              <w:t>姓名</w:t>
            </w:r>
          </w:p>
        </w:tc>
        <w:tc>
          <w:tcPr>
            <w:tcW w:w="873" w:type="dxa"/>
            <w:vAlign w:val="center"/>
          </w:tcPr>
          <w:p w14:paraId="472F1C13">
            <w:pPr>
              <w:spacing w:line="300" w:lineRule="auto"/>
              <w:rPr>
                <w:rFonts w:ascii="Times New Roman" w:hAnsi="Times New Roman"/>
                <w:color w:val="000000"/>
              </w:rPr>
            </w:pPr>
            <w:r>
              <w:rPr>
                <w:rFonts w:ascii="Times New Roman" w:hAnsi="Times New Roman"/>
                <w:color w:val="000000"/>
              </w:rPr>
              <w:t>性别</w:t>
            </w:r>
          </w:p>
        </w:tc>
        <w:tc>
          <w:tcPr>
            <w:tcW w:w="2120" w:type="dxa"/>
            <w:gridSpan w:val="3"/>
            <w:vAlign w:val="center"/>
          </w:tcPr>
          <w:p w14:paraId="523D05D5">
            <w:pPr>
              <w:spacing w:line="300" w:lineRule="auto"/>
              <w:rPr>
                <w:rFonts w:ascii="Times New Roman" w:hAnsi="Times New Roman"/>
                <w:color w:val="000000"/>
              </w:rPr>
            </w:pPr>
            <w:r>
              <w:rPr>
                <w:rFonts w:ascii="Times New Roman" w:hAnsi="Times New Roman"/>
                <w:color w:val="000000"/>
              </w:rPr>
              <w:t>执(职)业资格</w:t>
            </w:r>
          </w:p>
        </w:tc>
        <w:tc>
          <w:tcPr>
            <w:tcW w:w="2808" w:type="dxa"/>
            <w:tcBorders>
              <w:bottom w:val="single" w:color="auto" w:sz="4" w:space="0"/>
              <w:right w:val="single" w:color="auto" w:sz="4" w:space="0"/>
            </w:tcBorders>
            <w:vAlign w:val="center"/>
          </w:tcPr>
          <w:p w14:paraId="6B760678">
            <w:pPr>
              <w:spacing w:line="300" w:lineRule="auto"/>
              <w:rPr>
                <w:rFonts w:ascii="Times New Roman" w:hAnsi="Times New Roman"/>
                <w:color w:val="000000"/>
              </w:rPr>
            </w:pPr>
            <w:r>
              <w:rPr>
                <w:rFonts w:ascii="Times New Roman" w:hAnsi="Times New Roman"/>
                <w:color w:val="000000"/>
              </w:rPr>
              <w:t>注册证书编号（须是注册证书）</w:t>
            </w:r>
          </w:p>
        </w:tc>
      </w:tr>
      <w:tr w14:paraId="4981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0" w:hRule="atLeast"/>
          <w:jc w:val="center"/>
        </w:trPr>
        <w:tc>
          <w:tcPr>
            <w:tcW w:w="1565" w:type="dxa"/>
            <w:gridSpan w:val="2"/>
            <w:vAlign w:val="center"/>
          </w:tcPr>
          <w:p w14:paraId="61C390DB">
            <w:pPr>
              <w:spacing w:line="300" w:lineRule="auto"/>
              <w:rPr>
                <w:rFonts w:ascii="Times New Roman" w:hAnsi="Times New Roman"/>
                <w:color w:val="000000"/>
              </w:rPr>
            </w:pPr>
            <w:r>
              <w:rPr>
                <w:rFonts w:ascii="Times New Roman" w:hAnsi="Times New Roman"/>
                <w:color w:val="000000"/>
              </w:rPr>
              <w:t>项目经理</w:t>
            </w:r>
          </w:p>
        </w:tc>
        <w:tc>
          <w:tcPr>
            <w:tcW w:w="1270" w:type="dxa"/>
            <w:vAlign w:val="center"/>
          </w:tcPr>
          <w:p w14:paraId="2F1F23F8">
            <w:pPr>
              <w:spacing w:line="300" w:lineRule="auto"/>
              <w:rPr>
                <w:rFonts w:ascii="Times New Roman" w:hAnsi="Times New Roman"/>
                <w:color w:val="000000"/>
              </w:rPr>
            </w:pPr>
          </w:p>
        </w:tc>
        <w:tc>
          <w:tcPr>
            <w:tcW w:w="873" w:type="dxa"/>
            <w:vAlign w:val="center"/>
          </w:tcPr>
          <w:p w14:paraId="4379586D">
            <w:pPr>
              <w:spacing w:line="300" w:lineRule="auto"/>
              <w:rPr>
                <w:rFonts w:ascii="Times New Roman" w:hAnsi="Times New Roman"/>
                <w:color w:val="000000"/>
              </w:rPr>
            </w:pPr>
          </w:p>
        </w:tc>
        <w:tc>
          <w:tcPr>
            <w:tcW w:w="2120" w:type="dxa"/>
            <w:gridSpan w:val="3"/>
            <w:vAlign w:val="center"/>
          </w:tcPr>
          <w:p w14:paraId="3FD34C09">
            <w:pPr>
              <w:spacing w:line="300" w:lineRule="auto"/>
              <w:rPr>
                <w:rFonts w:ascii="Times New Roman" w:hAnsi="Times New Roman"/>
                <w:color w:val="000000"/>
              </w:rPr>
            </w:pPr>
          </w:p>
        </w:tc>
        <w:tc>
          <w:tcPr>
            <w:tcW w:w="2808" w:type="dxa"/>
            <w:tcBorders>
              <w:bottom w:val="single" w:color="auto" w:sz="4" w:space="0"/>
              <w:right w:val="single" w:color="auto" w:sz="4" w:space="0"/>
            </w:tcBorders>
            <w:vAlign w:val="center"/>
          </w:tcPr>
          <w:p w14:paraId="00D1DDC9">
            <w:pPr>
              <w:spacing w:line="300" w:lineRule="auto"/>
              <w:rPr>
                <w:rFonts w:ascii="Times New Roman" w:hAnsi="Times New Roman"/>
                <w:color w:val="000000"/>
              </w:rPr>
            </w:pPr>
          </w:p>
        </w:tc>
      </w:tr>
      <w:tr w14:paraId="2CC3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5" w:hRule="atLeast"/>
          <w:jc w:val="center"/>
        </w:trPr>
        <w:tc>
          <w:tcPr>
            <w:tcW w:w="8636" w:type="dxa"/>
            <w:gridSpan w:val="8"/>
            <w:tcBorders>
              <w:right w:val="single" w:color="auto" w:sz="4" w:space="0"/>
            </w:tcBorders>
            <w:vAlign w:val="center"/>
          </w:tcPr>
          <w:p w14:paraId="556F1232">
            <w:pPr>
              <w:spacing w:line="300" w:lineRule="auto"/>
              <w:rPr>
                <w:rFonts w:ascii="Times New Roman" w:hAnsi="Times New Roman"/>
                <w:color w:val="000000"/>
                <w:w w:val="90"/>
                <w:sz w:val="24"/>
              </w:rPr>
            </w:pPr>
            <w:r>
              <w:rPr>
                <w:rFonts w:ascii="Times New Roman" w:hAnsi="Times New Roman"/>
                <w:color w:val="000000"/>
                <w:w w:val="90"/>
                <w:sz w:val="24"/>
              </w:rPr>
              <w:t>承诺项目经理不兼职其他工程项目，如确有原因须更换，须事先征得业主同意。未经采购人同意更换项目经理，违约责任金1万元</w:t>
            </w:r>
            <w:r>
              <w:rPr>
                <w:rFonts w:hint="eastAsia" w:ascii="Times New Roman" w:hAnsi="Times New Roman"/>
                <w:color w:val="000000"/>
                <w:w w:val="90"/>
                <w:sz w:val="24"/>
              </w:rPr>
              <w:t>。</w:t>
            </w:r>
          </w:p>
        </w:tc>
      </w:tr>
      <w:tr w14:paraId="44ED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8" w:hRule="atLeast"/>
          <w:jc w:val="center"/>
        </w:trPr>
        <w:tc>
          <w:tcPr>
            <w:tcW w:w="8636" w:type="dxa"/>
            <w:gridSpan w:val="8"/>
            <w:tcBorders>
              <w:right w:val="single" w:color="auto" w:sz="4" w:space="0"/>
            </w:tcBorders>
            <w:vAlign w:val="center"/>
          </w:tcPr>
          <w:p w14:paraId="166A6313">
            <w:pPr>
              <w:spacing w:line="300" w:lineRule="auto"/>
              <w:rPr>
                <w:rFonts w:ascii="Times New Roman" w:hAnsi="Times New Roman"/>
                <w:color w:val="000000"/>
              </w:rPr>
            </w:pPr>
            <w:r>
              <w:rPr>
                <w:rFonts w:ascii="Times New Roman" w:hAnsi="Times New Roman"/>
                <w:color w:val="000000"/>
              </w:rPr>
              <w:t>质量要求及保证措施：</w:t>
            </w:r>
          </w:p>
        </w:tc>
      </w:tr>
      <w:tr w14:paraId="16C8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4" w:hRule="atLeast"/>
          <w:jc w:val="center"/>
        </w:trPr>
        <w:tc>
          <w:tcPr>
            <w:tcW w:w="8636" w:type="dxa"/>
            <w:gridSpan w:val="8"/>
            <w:vAlign w:val="center"/>
          </w:tcPr>
          <w:p w14:paraId="02A5D18F">
            <w:pPr>
              <w:spacing w:line="300" w:lineRule="auto"/>
              <w:rPr>
                <w:rFonts w:ascii="Times New Roman" w:hAnsi="Times New Roman"/>
                <w:color w:val="000000"/>
              </w:rPr>
            </w:pPr>
            <w:r>
              <w:rPr>
                <w:rFonts w:ascii="Times New Roman" w:hAnsi="Times New Roman"/>
                <w:color w:val="000000"/>
              </w:rPr>
              <w:t>主要技术措施：</w:t>
            </w:r>
          </w:p>
        </w:tc>
      </w:tr>
      <w:tr w14:paraId="70EA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4" w:hRule="atLeast"/>
          <w:jc w:val="center"/>
        </w:trPr>
        <w:tc>
          <w:tcPr>
            <w:tcW w:w="8636" w:type="dxa"/>
            <w:gridSpan w:val="8"/>
            <w:vAlign w:val="center"/>
          </w:tcPr>
          <w:p w14:paraId="3E595123">
            <w:pPr>
              <w:spacing w:line="300" w:lineRule="auto"/>
              <w:rPr>
                <w:rFonts w:ascii="Times New Roman" w:hAnsi="Times New Roman"/>
                <w:color w:val="000000"/>
              </w:rPr>
            </w:pPr>
            <w:r>
              <w:rPr>
                <w:rFonts w:hint="eastAsia" w:ascii="Times New Roman" w:hAnsi="Times New Roman"/>
                <w:color w:val="000000"/>
              </w:rPr>
              <w:t>工期保障措施：</w:t>
            </w:r>
          </w:p>
        </w:tc>
      </w:tr>
      <w:tr w14:paraId="68B2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86" w:hRule="atLeast"/>
          <w:jc w:val="center"/>
        </w:trPr>
        <w:tc>
          <w:tcPr>
            <w:tcW w:w="8636" w:type="dxa"/>
            <w:gridSpan w:val="8"/>
            <w:vAlign w:val="center"/>
          </w:tcPr>
          <w:p w14:paraId="7C047448">
            <w:pPr>
              <w:spacing w:line="300" w:lineRule="auto"/>
              <w:rPr>
                <w:rFonts w:ascii="Times New Roman" w:hAnsi="Times New Roman"/>
                <w:color w:val="000000"/>
              </w:rPr>
            </w:pPr>
            <w:r>
              <w:rPr>
                <w:rFonts w:ascii="Times New Roman" w:hAnsi="Times New Roman"/>
                <w:color w:val="000000"/>
              </w:rPr>
              <w:t>本完全认同招标文件的各项条款要求。</w:t>
            </w:r>
          </w:p>
        </w:tc>
      </w:tr>
      <w:tr w14:paraId="5E1F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1" w:hRule="atLeast"/>
          <w:jc w:val="center"/>
        </w:trPr>
        <w:tc>
          <w:tcPr>
            <w:tcW w:w="8636" w:type="dxa"/>
            <w:gridSpan w:val="8"/>
            <w:vAlign w:val="center"/>
          </w:tcPr>
          <w:p w14:paraId="0CEAB732">
            <w:pPr>
              <w:spacing w:line="300" w:lineRule="auto"/>
              <w:rPr>
                <w:rFonts w:ascii="Times New Roman" w:hAnsi="Times New Roman"/>
                <w:color w:val="000000"/>
              </w:rPr>
            </w:pPr>
            <w:r>
              <w:rPr>
                <w:rFonts w:ascii="Times New Roman" w:hAnsi="Times New Roman"/>
                <w:color w:val="000000"/>
              </w:rPr>
              <w:t>（签字）：</w:t>
            </w:r>
          </w:p>
        </w:tc>
      </w:tr>
    </w:tbl>
    <w:p w14:paraId="48FAEC55">
      <w:pPr>
        <w:spacing w:line="300" w:lineRule="auto"/>
        <w:rPr>
          <w:rFonts w:ascii="Times New Roman" w:hAnsi="Times New Roman"/>
          <w:color w:val="000000"/>
        </w:rPr>
      </w:pPr>
      <w:r>
        <w:rPr>
          <w:rFonts w:ascii="Times New Roman" w:hAnsi="Times New Roman"/>
          <w:color w:val="000000"/>
        </w:rPr>
        <w:t>注：1、请将开标一览表（一式两份）再另外单独封装在一个信封内，与投标文件同时递交，各项内容务必填写详细，可以填满，但不允许添加附页。</w:t>
      </w:r>
    </w:p>
    <w:p w14:paraId="5D49672C">
      <w:pPr>
        <w:spacing w:line="300" w:lineRule="auto"/>
        <w:ind w:firstLine="315" w:firstLineChars="150"/>
        <w:rPr>
          <w:rFonts w:ascii="Times New Roman" w:hAnsi="Times New Roman"/>
          <w:color w:val="000000"/>
        </w:rPr>
      </w:pPr>
      <w:r>
        <w:rPr>
          <w:rFonts w:ascii="Times New Roman" w:hAnsi="Times New Roman"/>
          <w:color w:val="000000"/>
        </w:rPr>
        <w:t>2、在评标过程中，评定内容的具体数据以此表为准。</w:t>
      </w:r>
    </w:p>
    <w:p w14:paraId="6407EB35">
      <w:pPr>
        <w:spacing w:line="300" w:lineRule="auto"/>
        <w:rPr>
          <w:rFonts w:ascii="Times New Roman" w:hAnsi="Times New Roman"/>
          <w:bCs/>
          <w:color w:val="000000"/>
        </w:rPr>
      </w:pPr>
      <w:r>
        <w:rPr>
          <w:rFonts w:ascii="Times New Roman" w:hAnsi="Times New Roman"/>
          <w:bCs/>
          <w:color w:val="000000"/>
        </w:rPr>
        <w:t xml:space="preserve">                                          </w:t>
      </w:r>
    </w:p>
    <w:p w14:paraId="1ED7437F">
      <w:pPr>
        <w:spacing w:line="300" w:lineRule="auto"/>
        <w:rPr>
          <w:rFonts w:ascii="Times New Roman" w:hAnsi="Times New Roman"/>
          <w:bCs/>
          <w:color w:val="000000"/>
        </w:rPr>
      </w:pPr>
    </w:p>
    <w:p w14:paraId="4345208D">
      <w:pPr>
        <w:spacing w:line="300" w:lineRule="auto"/>
        <w:ind w:firstLine="5880" w:firstLineChars="2800"/>
        <w:rPr>
          <w:rFonts w:ascii="Times New Roman" w:hAnsi="Times New Roman"/>
          <w:bCs/>
          <w:color w:val="000000"/>
        </w:rPr>
      </w:pPr>
      <w:r>
        <w:rPr>
          <w:rFonts w:ascii="Times New Roman" w:hAnsi="Times New Roman"/>
          <w:bCs/>
          <w:color w:val="000000"/>
        </w:rPr>
        <w:t>日期：    年   月   日</w:t>
      </w:r>
    </w:p>
    <w:p w14:paraId="4DFE8AA7">
      <w:pPr>
        <w:pStyle w:val="3"/>
        <w:spacing w:before="0" w:after="0" w:line="300" w:lineRule="auto"/>
        <w:jc w:val="center"/>
        <w:rPr>
          <w:rFonts w:ascii="Times New Roman" w:hAnsi="Times New Roman"/>
          <w:color w:val="000000"/>
        </w:rPr>
      </w:pPr>
      <w:r>
        <w:rPr>
          <w:rFonts w:ascii="Times New Roman" w:hAnsi="Times New Roman"/>
          <w:bCs w:val="0"/>
          <w:color w:val="000000"/>
        </w:rPr>
        <w:br w:type="page"/>
      </w:r>
      <w:bookmarkStart w:id="736" w:name="_Toc246997105"/>
      <w:bookmarkStart w:id="737" w:name="_Toc296602607"/>
      <w:bookmarkStart w:id="738" w:name="_Toc152042583"/>
      <w:bookmarkStart w:id="739" w:name="_Toc246996362"/>
      <w:bookmarkStart w:id="740" w:name="_Toc20455"/>
      <w:bookmarkStart w:id="741" w:name="_Toc247085880"/>
      <w:bookmarkStart w:id="742" w:name="_Toc152045794"/>
      <w:bookmarkStart w:id="743" w:name="_Toc933"/>
      <w:bookmarkStart w:id="744" w:name="_Toc144974862"/>
      <w:bookmarkStart w:id="745" w:name="_Toc9910"/>
      <w:r>
        <w:rPr>
          <w:rFonts w:ascii="Times New Roman" w:hAnsi="Times New Roman"/>
          <w:bCs w:val="0"/>
          <w:color w:val="000000"/>
        </w:rPr>
        <w:t>（四）</w:t>
      </w:r>
      <w:r>
        <w:rPr>
          <w:rFonts w:ascii="Times New Roman" w:hAnsi="Times New Roman"/>
          <w:color w:val="000000"/>
        </w:rPr>
        <w:t>投标保证金</w:t>
      </w:r>
      <w:bookmarkEnd w:id="736"/>
      <w:bookmarkEnd w:id="737"/>
      <w:bookmarkEnd w:id="738"/>
      <w:bookmarkEnd w:id="739"/>
      <w:bookmarkEnd w:id="740"/>
      <w:bookmarkEnd w:id="741"/>
      <w:bookmarkEnd w:id="742"/>
      <w:bookmarkEnd w:id="743"/>
      <w:bookmarkEnd w:id="744"/>
      <w:bookmarkEnd w:id="745"/>
    </w:p>
    <w:p w14:paraId="391A02CF">
      <w:pPr>
        <w:spacing w:line="300" w:lineRule="auto"/>
        <w:rPr>
          <w:rFonts w:ascii="Times New Roman" w:hAnsi="Times New Roman"/>
          <w:color w:val="000000"/>
          <w:szCs w:val="21"/>
        </w:rPr>
      </w:pPr>
    </w:p>
    <w:p w14:paraId="35EA8662">
      <w:pPr>
        <w:spacing w:line="300" w:lineRule="auto"/>
        <w:rPr>
          <w:rFonts w:ascii="Times New Roman" w:hAnsi="Times New Roman"/>
          <w:color w:val="000000"/>
          <w:szCs w:val="21"/>
        </w:rPr>
      </w:pPr>
      <w:r>
        <w:rPr>
          <w:rFonts w:ascii="Times New Roman" w:hAnsi="Times New Roman"/>
          <w:color w:val="000000"/>
          <w:szCs w:val="21"/>
          <w:u w:val="single"/>
        </w:rPr>
        <w:t xml:space="preserve">                     </w:t>
      </w:r>
      <w:r>
        <w:rPr>
          <w:rFonts w:ascii="Times New Roman" w:hAnsi="Times New Roman"/>
          <w:color w:val="000000"/>
          <w:szCs w:val="21"/>
        </w:rPr>
        <w:t>（招标人名称）：</w:t>
      </w:r>
    </w:p>
    <w:p w14:paraId="01322683">
      <w:pPr>
        <w:spacing w:line="300" w:lineRule="auto"/>
        <w:ind w:firstLine="525" w:firstLineChars="250"/>
        <w:rPr>
          <w:rFonts w:ascii="Times New Roman" w:hAnsi="Times New Roman"/>
          <w:color w:val="000000"/>
          <w:szCs w:val="21"/>
        </w:rPr>
      </w:pPr>
      <w:r>
        <w:rPr>
          <w:rFonts w:ascii="Times New Roman" w:hAnsi="Times New Roman"/>
          <w:color w:val="000000"/>
          <w:szCs w:val="21"/>
        </w:rPr>
        <w:t>鉴于</w:t>
      </w:r>
      <w:r>
        <w:rPr>
          <w:rFonts w:ascii="Times New Roman" w:hAnsi="Times New Roman"/>
          <w:color w:val="000000"/>
          <w:szCs w:val="21"/>
          <w:u w:val="single"/>
        </w:rPr>
        <w:t xml:space="preserve">                   </w:t>
      </w:r>
      <w:r>
        <w:rPr>
          <w:rFonts w:ascii="Times New Roman" w:hAnsi="Times New Roman"/>
          <w:color w:val="000000"/>
          <w:szCs w:val="21"/>
        </w:rPr>
        <w:t>（名称）（以下简称“”）参加</w:t>
      </w:r>
      <w:r>
        <w:rPr>
          <w:rFonts w:ascii="Times New Roman" w:hAnsi="Times New Roman"/>
          <w:color w:val="000000"/>
          <w:szCs w:val="21"/>
          <w:u w:val="single"/>
        </w:rPr>
        <w:t xml:space="preserve">       </w:t>
      </w:r>
      <w:r>
        <w:rPr>
          <w:rFonts w:ascii="Times New Roman" w:hAnsi="Times New Roman"/>
          <w:color w:val="000000"/>
          <w:szCs w:val="21"/>
        </w:rPr>
        <w:t>（项目名称）的施工投标，在此无条件地、不可撤销地保证：一旦收到采购人提出的下述任何一种事实的书面通知，在7日内无条件地向采购人支付总额不超过</w:t>
      </w:r>
      <w:r>
        <w:rPr>
          <w:rFonts w:ascii="Times New Roman" w:hAnsi="Times New Roman"/>
          <w:color w:val="000000"/>
          <w:szCs w:val="21"/>
          <w:u w:val="single"/>
        </w:rPr>
        <w:t xml:space="preserve">                  </w:t>
      </w:r>
      <w:r>
        <w:rPr>
          <w:rFonts w:ascii="Times New Roman" w:hAnsi="Times New Roman"/>
          <w:color w:val="000000"/>
          <w:szCs w:val="21"/>
        </w:rPr>
        <w:t>（投标保证金额度）的任何你方要求的金额：</w:t>
      </w:r>
    </w:p>
    <w:p w14:paraId="7BFC18F2">
      <w:pPr>
        <w:spacing w:line="300" w:lineRule="auto"/>
        <w:ind w:firstLine="420" w:firstLineChars="200"/>
        <w:rPr>
          <w:rFonts w:ascii="Times New Roman" w:hAnsi="Times New Roman"/>
          <w:color w:val="000000"/>
          <w:szCs w:val="21"/>
        </w:rPr>
      </w:pPr>
      <w:r>
        <w:rPr>
          <w:rFonts w:ascii="Times New Roman" w:hAnsi="Times New Roman"/>
          <w:color w:val="000000"/>
        </w:rPr>
        <w:t>（1）在规定的投标有效期内撤销或修改其投标文件；</w:t>
      </w:r>
    </w:p>
    <w:p w14:paraId="11560650">
      <w:pPr>
        <w:spacing w:line="300" w:lineRule="auto"/>
        <w:ind w:firstLine="420" w:firstLineChars="200"/>
        <w:rPr>
          <w:rFonts w:ascii="Times New Roman" w:hAnsi="Times New Roman"/>
          <w:color w:val="000000"/>
        </w:rPr>
      </w:pPr>
      <w:r>
        <w:rPr>
          <w:rFonts w:ascii="Times New Roman" w:hAnsi="Times New Roman"/>
          <w:color w:val="000000"/>
        </w:rPr>
        <w:t>（2）成交在收到成交候选人后，无正当理由拒签合同协议书或未按招标文件规定提交履约担保；</w:t>
      </w:r>
    </w:p>
    <w:p w14:paraId="2C3CD699">
      <w:pPr>
        <w:spacing w:line="300" w:lineRule="auto"/>
        <w:ind w:firstLine="420" w:firstLineChars="200"/>
        <w:rPr>
          <w:rFonts w:ascii="Times New Roman" w:hAnsi="Times New Roman"/>
          <w:color w:val="000000"/>
        </w:rPr>
      </w:pPr>
      <w:r>
        <w:rPr>
          <w:rFonts w:ascii="Times New Roman" w:hAnsi="Times New Roman"/>
          <w:color w:val="000000"/>
        </w:rPr>
        <w:t>（3）有经行政主管部门查实、通报的不良行为记录，承诺与事实不符，给采购人造成损失的。</w:t>
      </w:r>
    </w:p>
    <w:p w14:paraId="35017384">
      <w:pPr>
        <w:spacing w:line="300" w:lineRule="auto"/>
        <w:ind w:firstLine="4888" w:firstLineChars="2328"/>
        <w:rPr>
          <w:rFonts w:ascii="Times New Roman" w:hAnsi="Times New Roman"/>
          <w:color w:val="000000"/>
          <w:szCs w:val="21"/>
        </w:rPr>
      </w:pPr>
    </w:p>
    <w:p w14:paraId="13B950D1">
      <w:pPr>
        <w:spacing w:line="300" w:lineRule="auto"/>
        <w:rPr>
          <w:rFonts w:ascii="Times New Roman" w:hAnsi="Times New Roman"/>
          <w:b/>
          <w:color w:val="000000"/>
          <w:szCs w:val="21"/>
        </w:rPr>
      </w:pPr>
      <w:r>
        <w:rPr>
          <w:rFonts w:ascii="Times New Roman" w:hAnsi="Times New Roman"/>
          <w:b/>
          <w:color w:val="000000"/>
          <w:szCs w:val="21"/>
        </w:rPr>
        <w:t>附：电汇底单复印件加盖公章及单位开户许可证复印件加盖公章（因材料提交不齐全而造成的投标保证金无法按时退还责任由投标人自行承担）</w:t>
      </w:r>
    </w:p>
    <w:p w14:paraId="475E2ECD">
      <w:pPr>
        <w:spacing w:line="300" w:lineRule="auto"/>
        <w:ind w:firstLine="4888" w:firstLineChars="2328"/>
        <w:rPr>
          <w:rFonts w:ascii="Times New Roman" w:hAnsi="Times New Roman"/>
          <w:color w:val="000000"/>
          <w:szCs w:val="21"/>
        </w:rPr>
      </w:pPr>
    </w:p>
    <w:p w14:paraId="03365641">
      <w:pPr>
        <w:spacing w:line="300" w:lineRule="auto"/>
        <w:ind w:firstLine="3780" w:firstLineChars="1800"/>
        <w:rPr>
          <w:rFonts w:ascii="Times New Roman" w:hAnsi="Times New Roman"/>
          <w:color w:val="000000"/>
          <w:szCs w:val="21"/>
        </w:rPr>
      </w:pPr>
      <w:r>
        <w:rPr>
          <w:rFonts w:ascii="Times New Roman" w:hAnsi="Times New Roman"/>
          <w:color w:val="000000"/>
          <w:szCs w:val="21"/>
        </w:rPr>
        <w:t xml:space="preserve">       法定代表人或其委托代理人：</w:t>
      </w:r>
      <w:r>
        <w:rPr>
          <w:rFonts w:ascii="Times New Roman" w:hAnsi="Times New Roman"/>
          <w:color w:val="000000"/>
          <w:szCs w:val="21"/>
          <w:u w:val="single"/>
        </w:rPr>
        <w:t xml:space="preserve">            </w:t>
      </w:r>
      <w:r>
        <w:rPr>
          <w:rFonts w:ascii="Times New Roman" w:hAnsi="Times New Roman"/>
          <w:color w:val="000000"/>
          <w:szCs w:val="21"/>
        </w:rPr>
        <w:t>（签字）</w:t>
      </w:r>
    </w:p>
    <w:p w14:paraId="56979EAE">
      <w:pPr>
        <w:spacing w:line="300" w:lineRule="auto"/>
        <w:ind w:firstLine="4515" w:firstLineChars="2150"/>
        <w:rPr>
          <w:rFonts w:ascii="Times New Roman" w:hAnsi="Times New Roman"/>
          <w:color w:val="000000"/>
          <w:szCs w:val="21"/>
        </w:rPr>
      </w:pPr>
      <w:r>
        <w:rPr>
          <w:rFonts w:ascii="Times New Roman" w:hAnsi="Times New Roman"/>
          <w:color w:val="000000"/>
          <w:szCs w:val="21"/>
        </w:rPr>
        <w:t>地    址：</w:t>
      </w:r>
      <w:r>
        <w:rPr>
          <w:rFonts w:ascii="Times New Roman" w:hAnsi="Times New Roman"/>
          <w:color w:val="000000"/>
          <w:szCs w:val="21"/>
          <w:u w:val="single"/>
        </w:rPr>
        <w:t xml:space="preserve">                                   </w:t>
      </w:r>
    </w:p>
    <w:p w14:paraId="11AF535B">
      <w:pPr>
        <w:spacing w:line="300" w:lineRule="auto"/>
        <w:ind w:firstLine="4515" w:firstLineChars="2150"/>
        <w:rPr>
          <w:rFonts w:ascii="Times New Roman" w:hAnsi="Times New Roman"/>
          <w:color w:val="000000"/>
          <w:szCs w:val="21"/>
        </w:rPr>
      </w:pPr>
      <w:r>
        <w:rPr>
          <w:rFonts w:ascii="Times New Roman" w:hAnsi="Times New Roman"/>
          <w:color w:val="000000"/>
          <w:szCs w:val="21"/>
        </w:rPr>
        <w:t>邮政编码：</w:t>
      </w:r>
      <w:r>
        <w:rPr>
          <w:rFonts w:ascii="Times New Roman" w:hAnsi="Times New Roman"/>
          <w:color w:val="000000"/>
          <w:szCs w:val="21"/>
          <w:u w:val="single"/>
        </w:rPr>
        <w:t xml:space="preserve">                                   </w:t>
      </w:r>
    </w:p>
    <w:p w14:paraId="0E1D81E2">
      <w:pPr>
        <w:spacing w:line="300" w:lineRule="auto"/>
        <w:ind w:firstLine="4515" w:firstLineChars="2150"/>
        <w:rPr>
          <w:rFonts w:ascii="Times New Roman" w:hAnsi="Times New Roman"/>
          <w:color w:val="000000"/>
          <w:szCs w:val="21"/>
        </w:rPr>
      </w:pPr>
      <w:r>
        <w:rPr>
          <w:rFonts w:ascii="Times New Roman" w:hAnsi="Times New Roman"/>
          <w:color w:val="000000"/>
          <w:szCs w:val="21"/>
        </w:rPr>
        <w:t>电    话：</w:t>
      </w:r>
      <w:r>
        <w:rPr>
          <w:rFonts w:ascii="Times New Roman" w:hAnsi="Times New Roman"/>
          <w:color w:val="000000"/>
          <w:szCs w:val="21"/>
          <w:u w:val="single"/>
        </w:rPr>
        <w:t xml:space="preserve">                                   </w:t>
      </w:r>
    </w:p>
    <w:p w14:paraId="02D5401A">
      <w:pPr>
        <w:spacing w:line="300" w:lineRule="auto"/>
        <w:ind w:firstLine="4888" w:firstLineChars="2328"/>
        <w:rPr>
          <w:rFonts w:ascii="Times New Roman" w:hAnsi="Times New Roman"/>
          <w:color w:val="000000"/>
          <w:szCs w:val="21"/>
        </w:rPr>
      </w:pPr>
    </w:p>
    <w:p w14:paraId="1928E410">
      <w:pPr>
        <w:spacing w:line="300" w:lineRule="auto"/>
        <w:ind w:firstLine="5728" w:firstLineChars="2728"/>
        <w:rPr>
          <w:rFonts w:ascii="Times New Roman" w:hAnsi="Times New Roman"/>
          <w:color w:val="000000"/>
          <w:szCs w:val="21"/>
        </w:rPr>
      </w:pPr>
      <w:r>
        <w:rPr>
          <w:rFonts w:ascii="Times New Roman" w:hAnsi="Times New Roman"/>
          <w:color w:val="000000"/>
          <w:szCs w:val="21"/>
          <w:u w:val="single"/>
        </w:rPr>
        <w:t xml:space="preserve">          </w:t>
      </w:r>
      <w:r>
        <w:rPr>
          <w:rFonts w:ascii="Times New Roman" w:hAnsi="Times New Roman"/>
          <w:color w:val="000000"/>
          <w:szCs w:val="21"/>
        </w:rPr>
        <w:t>年</w:t>
      </w:r>
      <w:r>
        <w:rPr>
          <w:rFonts w:ascii="Times New Roman" w:hAnsi="Times New Roman"/>
          <w:color w:val="000000"/>
          <w:szCs w:val="21"/>
          <w:u w:val="single"/>
        </w:rPr>
        <w:t xml:space="preserve">       </w:t>
      </w:r>
      <w:r>
        <w:rPr>
          <w:rFonts w:ascii="Times New Roman" w:hAnsi="Times New Roman"/>
          <w:color w:val="000000"/>
          <w:szCs w:val="21"/>
        </w:rPr>
        <w:t>月</w:t>
      </w:r>
      <w:r>
        <w:rPr>
          <w:rFonts w:ascii="Times New Roman" w:hAnsi="Times New Roman"/>
          <w:color w:val="000000"/>
          <w:szCs w:val="21"/>
          <w:u w:val="single"/>
        </w:rPr>
        <w:t xml:space="preserve">       </w:t>
      </w:r>
      <w:r>
        <w:rPr>
          <w:rFonts w:ascii="Times New Roman" w:hAnsi="Times New Roman"/>
          <w:color w:val="000000"/>
          <w:szCs w:val="21"/>
        </w:rPr>
        <w:t>日</w:t>
      </w:r>
      <w:bookmarkEnd w:id="664"/>
      <w:bookmarkStart w:id="746" w:name="_Toc144974864"/>
      <w:bookmarkStart w:id="747" w:name="_Toc246997107"/>
      <w:bookmarkStart w:id="748" w:name="_Toc296602609"/>
      <w:bookmarkStart w:id="749" w:name="_Toc152045796"/>
      <w:bookmarkStart w:id="750" w:name="_Toc247085882"/>
      <w:bookmarkStart w:id="751" w:name="_Toc179632816"/>
      <w:bookmarkStart w:id="752" w:name="_Toc152042585"/>
      <w:bookmarkStart w:id="753" w:name="_Toc246996364"/>
    </w:p>
    <w:p w14:paraId="2F7406B2">
      <w:pPr>
        <w:keepNext/>
        <w:keepLines/>
        <w:spacing w:before="100" w:line="400" w:lineRule="exact"/>
        <w:ind w:firstLine="400"/>
        <w:jc w:val="center"/>
        <w:outlineLvl w:val="1"/>
        <w:rPr>
          <w:rFonts w:ascii="Times New Roman" w:hAnsi="Times New Roman" w:eastAsia="黑体"/>
          <w:b/>
          <w:color w:val="000000"/>
          <w:kern w:val="0"/>
          <w:sz w:val="32"/>
          <w:szCs w:val="32"/>
        </w:rPr>
      </w:pPr>
      <w:r>
        <w:rPr>
          <w:rFonts w:ascii="Times New Roman" w:hAnsi="Times New Roman"/>
          <w:color w:val="000000"/>
          <w:szCs w:val="21"/>
        </w:rPr>
        <w:br w:type="page"/>
      </w:r>
      <w:bookmarkStart w:id="754" w:name="_Toc13354"/>
      <w:bookmarkStart w:id="755" w:name="_Toc12853"/>
      <w:bookmarkStart w:id="756" w:name="_Toc28393"/>
      <w:r>
        <w:rPr>
          <w:rFonts w:hint="eastAsia" w:ascii="Times New Roman" w:hAnsi="Times New Roman" w:eastAsia="黑体"/>
          <w:b/>
          <w:color w:val="000000"/>
          <w:kern w:val="0"/>
          <w:sz w:val="32"/>
          <w:szCs w:val="32"/>
        </w:rPr>
        <w:t>（五）工程量清单</w:t>
      </w:r>
      <w:bookmarkEnd w:id="754"/>
      <w:bookmarkEnd w:id="755"/>
      <w:bookmarkEnd w:id="756"/>
      <w:bookmarkStart w:id="757" w:name="_Toc179632790"/>
      <w:bookmarkStart w:id="758" w:name="_Toc152042555"/>
      <w:bookmarkStart w:id="759" w:name="_Toc144974835"/>
      <w:bookmarkStart w:id="760" w:name="_Toc152045773"/>
    </w:p>
    <w:p w14:paraId="33E1611A">
      <w:pPr>
        <w:keepNext/>
        <w:keepLines/>
        <w:spacing w:before="100" w:line="400" w:lineRule="exact"/>
        <w:ind w:firstLine="400"/>
        <w:jc w:val="center"/>
        <w:outlineLvl w:val="1"/>
      </w:pPr>
      <w:bookmarkStart w:id="761" w:name="_Toc23840"/>
      <w:bookmarkStart w:id="762" w:name="_Toc32764"/>
      <w:bookmarkStart w:id="763" w:name="_Toc30736"/>
      <w:r>
        <w:rPr>
          <w:rFonts w:hint="eastAsia" w:ascii="Times New Roman" w:hAnsi="Times New Roman" w:eastAsia="黑体"/>
          <w:kern w:val="0"/>
          <w:sz w:val="28"/>
          <w:szCs w:val="20"/>
        </w:rPr>
        <w:t>1. 工程量清单编制说明</w:t>
      </w:r>
      <w:bookmarkEnd w:id="757"/>
      <w:bookmarkEnd w:id="758"/>
      <w:bookmarkEnd w:id="759"/>
      <w:bookmarkEnd w:id="760"/>
      <w:bookmarkEnd w:id="761"/>
      <w:bookmarkEnd w:id="762"/>
      <w:bookmarkEnd w:id="763"/>
    </w:p>
    <w:p w14:paraId="196B43E7">
      <w:pPr>
        <w:spacing w:line="300" w:lineRule="auto"/>
        <w:ind w:left="480" w:hanging="480" w:hangingChars="200"/>
        <w:rPr>
          <w:rFonts w:ascii="Times New Roman" w:hAnsi="Times New Roman" w:eastAsia="黑体"/>
          <w:kern w:val="0"/>
          <w:sz w:val="24"/>
        </w:rPr>
      </w:pPr>
      <w:r>
        <w:rPr>
          <w:rFonts w:hint="eastAsia" w:ascii="Times New Roman" w:hAnsi="Times New Roman" w:eastAsia="黑体"/>
          <w:kern w:val="0"/>
          <w:sz w:val="24"/>
        </w:rPr>
        <w:t>一、</w:t>
      </w:r>
      <w:r>
        <w:rPr>
          <w:rFonts w:ascii="Times New Roman" w:hAnsi="Times New Roman" w:eastAsia="黑体"/>
          <w:kern w:val="0"/>
          <w:sz w:val="24"/>
        </w:rPr>
        <w:t>投标报价说明</w:t>
      </w:r>
    </w:p>
    <w:p w14:paraId="30D80816">
      <w:pPr>
        <w:spacing w:line="300" w:lineRule="auto"/>
        <w:ind w:firstLine="420" w:firstLineChars="200"/>
        <w:rPr>
          <w:rFonts w:ascii="Times New Roman" w:hAnsi="Times New Roman"/>
          <w:color w:val="000000"/>
        </w:rPr>
      </w:pPr>
      <w:r>
        <w:rPr>
          <w:rFonts w:hint="eastAsia" w:ascii="Times New Roman" w:hAnsi="Times New Roman"/>
          <w:color w:val="000000"/>
        </w:rPr>
        <w:t>1、</w:t>
      </w:r>
      <w:r>
        <w:rPr>
          <w:rFonts w:ascii="Times New Roman" w:hAnsi="Times New Roman"/>
          <w:color w:val="000000"/>
        </w:rPr>
        <w:t>报价要求：投标人须根据本招标文件、工程量清单、技术标准和要求以及市场情况，进行自主报价。工程量清单中的每一子目均需填报综合单价和合价，只允许有一个报价，不得有选择性报价。</w:t>
      </w:r>
    </w:p>
    <w:p w14:paraId="7543077B">
      <w:pPr>
        <w:spacing w:line="300" w:lineRule="auto"/>
        <w:ind w:firstLine="420" w:firstLineChars="200"/>
        <w:rPr>
          <w:rFonts w:ascii="Times New Roman" w:hAnsi="Times New Roman"/>
          <w:color w:val="000000"/>
        </w:rPr>
      </w:pPr>
      <w:r>
        <w:rPr>
          <w:rFonts w:hint="eastAsia" w:ascii="Times New Roman" w:hAnsi="Times New Roman"/>
          <w:color w:val="000000"/>
        </w:rPr>
        <w:t>2、</w:t>
      </w:r>
      <w:r>
        <w:rPr>
          <w:rFonts w:ascii="Times New Roman" w:hAnsi="Times New Roman"/>
          <w:color w:val="000000"/>
        </w:rPr>
        <w:t>报价完整性：所填报的</w:t>
      </w:r>
      <w:r>
        <w:rPr>
          <w:rFonts w:hint="eastAsia" w:ascii="Times New Roman" w:hAnsi="Times New Roman"/>
          <w:color w:val="000000"/>
        </w:rPr>
        <w:t>全费用</w:t>
      </w:r>
      <w:r>
        <w:rPr>
          <w:rFonts w:ascii="Times New Roman" w:hAnsi="Times New Roman"/>
          <w:color w:val="000000"/>
        </w:rPr>
        <w:t>综合单价和总价，应已全面包含为完成该项目清单子目所明示或暗示的全部工作内容、责任、义务和风险。具体包括：人工费、材料费（除甲供材本身价值）、施工机具使用费；管理费、利润；措施项目费（如安全文明施工费、夜间施工费、冬雨季施工费、春节赶工措施费、成品保护</w:t>
      </w:r>
      <w:r>
        <w:rPr>
          <w:rFonts w:hint="eastAsia" w:ascii="Times New Roman" w:hAnsi="Times New Roman"/>
          <w:color w:val="000000"/>
        </w:rPr>
        <w:t>、</w:t>
      </w:r>
      <w:r>
        <w:rPr>
          <w:rFonts w:ascii="Times New Roman" w:hAnsi="Times New Roman"/>
          <w:color w:val="000000"/>
        </w:rPr>
        <w:t>检验费等）、规费、税金（增值税）</w:t>
      </w:r>
      <w:r>
        <w:rPr>
          <w:rFonts w:hint="eastAsia" w:ascii="Times New Roman" w:hAnsi="Times New Roman"/>
          <w:color w:val="000000"/>
        </w:rPr>
        <w:t>等</w:t>
      </w:r>
      <w:r>
        <w:rPr>
          <w:rFonts w:ascii="Times New Roman" w:hAnsi="Times New Roman"/>
          <w:color w:val="000000"/>
        </w:rPr>
        <w:t>；</w:t>
      </w:r>
    </w:p>
    <w:p w14:paraId="0EEA5690">
      <w:pPr>
        <w:spacing w:line="300" w:lineRule="auto"/>
        <w:ind w:firstLine="420" w:firstLineChars="200"/>
        <w:rPr>
          <w:rFonts w:ascii="Times New Roman" w:hAnsi="Times New Roman"/>
          <w:color w:val="000000"/>
        </w:rPr>
      </w:pPr>
      <w:r>
        <w:rPr>
          <w:rFonts w:hint="eastAsia" w:ascii="Times New Roman" w:hAnsi="Times New Roman"/>
          <w:color w:val="000000"/>
        </w:rPr>
        <w:t>3、</w:t>
      </w:r>
      <w:r>
        <w:rPr>
          <w:rFonts w:ascii="Times New Roman" w:hAnsi="Times New Roman"/>
          <w:color w:val="000000"/>
        </w:rPr>
        <w:t>漏项与风险：投标人应对工程量清单进行认真核查。凡在工程量清单中未填报单价或价格的项目，招标人将视为此项目的费用已包含在工程量清单的其他项目的单价或合价中。中标后，招标人对此类未报价项目将不予另行支付。</w:t>
      </w:r>
    </w:p>
    <w:p w14:paraId="19DEF88C">
      <w:pPr>
        <w:spacing w:line="300" w:lineRule="auto"/>
        <w:ind w:firstLine="420" w:firstLineChars="200"/>
        <w:rPr>
          <w:rFonts w:ascii="Times New Roman" w:hAnsi="Times New Roman"/>
          <w:color w:val="000000"/>
        </w:rPr>
      </w:pPr>
      <w:r>
        <w:rPr>
          <w:rFonts w:hint="eastAsia" w:ascii="Times New Roman" w:hAnsi="Times New Roman"/>
          <w:color w:val="000000"/>
        </w:rPr>
        <w:t>4、</w:t>
      </w:r>
      <w:r>
        <w:rPr>
          <w:rFonts w:ascii="Times New Roman" w:hAnsi="Times New Roman"/>
          <w:color w:val="000000"/>
        </w:rPr>
        <w:t>报价形式：投标总报价应为人民币报价，单位为“元”。投标人须在《开标一览表》中填写投标总价（大写及小写），并在已标价的工程量清单文件中提供详细的单价分析。</w:t>
      </w:r>
    </w:p>
    <w:p w14:paraId="40915BB4">
      <w:pPr>
        <w:spacing w:line="300" w:lineRule="auto"/>
        <w:ind w:firstLine="420" w:firstLineChars="200"/>
        <w:rPr>
          <w:rFonts w:ascii="Times New Roman" w:hAnsi="Times New Roman" w:eastAsia="等线"/>
          <w:color w:val="000000"/>
        </w:rPr>
      </w:pPr>
      <w:r>
        <w:rPr>
          <w:rFonts w:hint="eastAsia" w:ascii="Times New Roman" w:hAnsi="Times New Roman"/>
          <w:color w:val="000000"/>
        </w:rPr>
        <w:t>5、</w:t>
      </w:r>
      <w:r>
        <w:rPr>
          <w:rFonts w:ascii="Times New Roman" w:hAnsi="Times New Roman"/>
          <w:color w:val="000000"/>
        </w:rPr>
        <w:t>投标人报价应已充分考虑招标文件第四章所述全部材料质量要求所带来的成本影响，包括但不限于因采购符合要求的优质沥青材料、提供证明文件等所发生的费用。该部分费用应包含在相关清单子目的综合单价及总价中</w:t>
      </w:r>
      <w:r>
        <w:rPr>
          <w:rFonts w:hint="eastAsia" w:ascii="Times New Roman" w:hAnsi="Times New Roman"/>
          <w:color w:val="000000"/>
        </w:rPr>
        <w:t>。</w:t>
      </w:r>
    </w:p>
    <w:p w14:paraId="03AB6AEE">
      <w:pPr>
        <w:spacing w:line="300" w:lineRule="auto"/>
        <w:ind w:firstLine="420" w:firstLineChars="200"/>
        <w:rPr>
          <w:rFonts w:ascii="Times New Roman" w:hAnsi="Times New Roman"/>
          <w:color w:val="000000"/>
        </w:rPr>
      </w:pPr>
      <w:r>
        <w:rPr>
          <w:rFonts w:hint="eastAsia" w:ascii="Times New Roman" w:hAnsi="Times New Roman"/>
          <w:color w:val="000000"/>
        </w:rPr>
        <w:t>6、</w:t>
      </w:r>
      <w:r>
        <w:rPr>
          <w:rFonts w:ascii="Times New Roman" w:hAnsi="Times New Roman"/>
          <w:color w:val="000000"/>
        </w:rPr>
        <w:t>暂列金额：工程量清单中列出的“暂列金额”为招标人可能用于工程变更等事项的备用金，投标人应按招标文件列出的金额直接计入投标总价，不得变动。</w:t>
      </w:r>
    </w:p>
    <w:p w14:paraId="577EE2FF">
      <w:pPr>
        <w:spacing w:line="300" w:lineRule="auto"/>
        <w:ind w:firstLine="420" w:firstLineChars="200"/>
        <w:rPr>
          <w:rFonts w:ascii="Times New Roman" w:hAnsi="Times New Roman"/>
          <w:color w:val="000000"/>
        </w:rPr>
      </w:pPr>
      <w:r>
        <w:rPr>
          <w:rFonts w:hint="eastAsia" w:ascii="Times New Roman" w:hAnsi="Times New Roman"/>
          <w:color w:val="000000"/>
        </w:rPr>
        <w:t>7、</w:t>
      </w:r>
      <w:r>
        <w:rPr>
          <w:rFonts w:ascii="Times New Roman" w:hAnsi="Times New Roman"/>
          <w:color w:val="000000"/>
        </w:rPr>
        <w:t>风险承担：投标人应充分考虑施工期间市场价格波动（除合同条款另有约定外）、冬季施工、春节假期、工期极端紧张等各类风险因素，并在报价中自行承担相关风险费用。招标人将认为投标人的报价已覆盖其应预见的全部风险。</w:t>
      </w:r>
    </w:p>
    <w:p w14:paraId="091BEB55">
      <w:pPr>
        <w:rPr>
          <w:rFonts w:ascii="Times New Roman" w:hAnsi="Times New Roman"/>
          <w:color w:val="000000"/>
        </w:rPr>
      </w:pPr>
      <w:r>
        <w:rPr>
          <w:rFonts w:ascii="Times New Roman" w:hAnsi="Times New Roman"/>
          <w:color w:val="000000"/>
        </w:rPr>
        <w:br w:type="page"/>
      </w:r>
    </w:p>
    <w:p w14:paraId="17C078A2">
      <w:pPr>
        <w:keepNext/>
        <w:keepLines/>
        <w:numPr>
          <w:ilvl w:val="0"/>
          <w:numId w:val="9"/>
        </w:numPr>
        <w:spacing w:before="100" w:line="400" w:lineRule="exact"/>
        <w:ind w:firstLine="400"/>
        <w:jc w:val="center"/>
        <w:outlineLvl w:val="1"/>
        <w:rPr>
          <w:rFonts w:ascii="Times New Roman" w:hAnsi="Times New Roman" w:eastAsia="黑体"/>
          <w:kern w:val="0"/>
          <w:sz w:val="28"/>
          <w:szCs w:val="20"/>
        </w:rPr>
      </w:pPr>
      <w:bookmarkStart w:id="764" w:name="_Toc16436"/>
      <w:bookmarkStart w:id="765" w:name="_Toc22540"/>
      <w:bookmarkStart w:id="766" w:name="_Toc14452"/>
      <w:r>
        <w:rPr>
          <w:rFonts w:hint="eastAsia" w:ascii="Times New Roman" w:hAnsi="Times New Roman" w:eastAsia="黑体"/>
          <w:kern w:val="0"/>
          <w:sz w:val="28"/>
          <w:szCs w:val="20"/>
        </w:rPr>
        <w:t>工程量清单</w:t>
      </w:r>
      <w:bookmarkEnd w:id="764"/>
      <w:bookmarkEnd w:id="765"/>
      <w:bookmarkEnd w:id="766"/>
    </w:p>
    <w:tbl>
      <w:tblPr>
        <w:tblStyle w:val="18"/>
        <w:tblpPr w:leftFromText="180" w:rightFromText="180" w:vertAnchor="text" w:horzAnchor="page" w:tblpX="1492" w:tblpY="53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
        <w:gridCol w:w="3547"/>
        <w:gridCol w:w="645"/>
        <w:gridCol w:w="639"/>
        <w:gridCol w:w="662"/>
        <w:gridCol w:w="909"/>
        <w:gridCol w:w="1490"/>
      </w:tblGrid>
      <w:tr w14:paraId="4EFA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blHeader/>
        </w:trPr>
        <w:tc>
          <w:tcPr>
            <w:tcW w:w="243" w:type="pct"/>
            <w:vAlign w:val="center"/>
          </w:tcPr>
          <w:p w14:paraId="2C81C81E">
            <w:pPr>
              <w:jc w:val="center"/>
              <w:rPr>
                <w:rFonts w:cs="等线"/>
                <w:sz w:val="18"/>
                <w:szCs w:val="18"/>
              </w:rPr>
            </w:pPr>
            <w:r>
              <w:rPr>
                <w:rFonts w:hint="eastAsia" w:cs="等线"/>
                <w:sz w:val="18"/>
                <w:szCs w:val="18"/>
              </w:rPr>
              <w:t>序号</w:t>
            </w:r>
          </w:p>
        </w:tc>
        <w:tc>
          <w:tcPr>
            <w:tcW w:w="2137" w:type="pct"/>
            <w:vAlign w:val="center"/>
          </w:tcPr>
          <w:p w14:paraId="7C0F2858">
            <w:pPr>
              <w:tabs>
                <w:tab w:val="left" w:pos="522"/>
              </w:tabs>
              <w:jc w:val="center"/>
              <w:rPr>
                <w:rFonts w:cs="等线"/>
                <w:sz w:val="18"/>
                <w:szCs w:val="18"/>
              </w:rPr>
            </w:pPr>
            <w:r>
              <w:rPr>
                <w:rFonts w:hint="eastAsia" w:cs="等线"/>
                <w:sz w:val="18"/>
                <w:szCs w:val="18"/>
              </w:rPr>
              <w:t>项目名称</w:t>
            </w:r>
          </w:p>
          <w:p w14:paraId="1F495EA0">
            <w:pPr>
              <w:tabs>
                <w:tab w:val="left" w:pos="522"/>
              </w:tabs>
              <w:jc w:val="center"/>
              <w:rPr>
                <w:rFonts w:cs="等线"/>
                <w:sz w:val="18"/>
                <w:szCs w:val="18"/>
              </w:rPr>
            </w:pPr>
            <w:r>
              <w:rPr>
                <w:rFonts w:hint="eastAsia" w:cs="等线"/>
                <w:sz w:val="18"/>
                <w:szCs w:val="18"/>
              </w:rPr>
              <w:t>技术要求</w:t>
            </w:r>
          </w:p>
        </w:tc>
        <w:tc>
          <w:tcPr>
            <w:tcW w:w="389" w:type="pct"/>
            <w:vAlign w:val="center"/>
          </w:tcPr>
          <w:p w14:paraId="4A4BB17A">
            <w:pPr>
              <w:jc w:val="center"/>
              <w:rPr>
                <w:rFonts w:cs="等线"/>
                <w:sz w:val="18"/>
                <w:szCs w:val="18"/>
              </w:rPr>
            </w:pPr>
            <w:r>
              <w:rPr>
                <w:rFonts w:hint="eastAsia" w:cs="等线"/>
                <w:sz w:val="18"/>
                <w:szCs w:val="18"/>
              </w:rPr>
              <w:t>单位</w:t>
            </w:r>
          </w:p>
        </w:tc>
        <w:tc>
          <w:tcPr>
            <w:tcW w:w="385" w:type="pct"/>
            <w:vAlign w:val="center"/>
          </w:tcPr>
          <w:p w14:paraId="39E2FAEA">
            <w:pPr>
              <w:tabs>
                <w:tab w:val="left" w:pos="522"/>
              </w:tabs>
              <w:jc w:val="center"/>
              <w:rPr>
                <w:rFonts w:cs="等线"/>
                <w:sz w:val="18"/>
                <w:szCs w:val="18"/>
              </w:rPr>
            </w:pPr>
            <w:r>
              <w:rPr>
                <w:rFonts w:hint="eastAsia" w:cs="等线"/>
                <w:sz w:val="18"/>
                <w:szCs w:val="18"/>
              </w:rPr>
              <w:t>数量</w:t>
            </w:r>
          </w:p>
        </w:tc>
        <w:tc>
          <w:tcPr>
            <w:tcW w:w="399" w:type="pct"/>
            <w:vAlign w:val="center"/>
          </w:tcPr>
          <w:p w14:paraId="783D308F">
            <w:pPr>
              <w:tabs>
                <w:tab w:val="left" w:pos="522"/>
              </w:tabs>
              <w:jc w:val="center"/>
              <w:rPr>
                <w:rFonts w:cs="等线"/>
                <w:sz w:val="18"/>
                <w:szCs w:val="18"/>
              </w:rPr>
            </w:pPr>
            <w:r>
              <w:rPr>
                <w:rFonts w:hint="eastAsia" w:cs="等线"/>
                <w:sz w:val="18"/>
                <w:szCs w:val="18"/>
              </w:rPr>
              <w:t>单价</w:t>
            </w:r>
          </w:p>
        </w:tc>
        <w:tc>
          <w:tcPr>
            <w:tcW w:w="548" w:type="pct"/>
            <w:vAlign w:val="center"/>
          </w:tcPr>
          <w:p w14:paraId="4F5077A2">
            <w:pPr>
              <w:tabs>
                <w:tab w:val="left" w:pos="522"/>
              </w:tabs>
              <w:jc w:val="center"/>
              <w:rPr>
                <w:rFonts w:cs="等线"/>
                <w:sz w:val="18"/>
                <w:szCs w:val="18"/>
              </w:rPr>
            </w:pPr>
            <w:r>
              <w:rPr>
                <w:rFonts w:hint="eastAsia" w:cs="等线"/>
                <w:sz w:val="18"/>
                <w:szCs w:val="18"/>
              </w:rPr>
              <w:t>总价</w:t>
            </w:r>
          </w:p>
        </w:tc>
        <w:tc>
          <w:tcPr>
            <w:tcW w:w="898" w:type="pct"/>
            <w:vAlign w:val="center"/>
          </w:tcPr>
          <w:p w14:paraId="4ABF682F">
            <w:pPr>
              <w:jc w:val="center"/>
              <w:rPr>
                <w:rFonts w:cs="等线"/>
                <w:sz w:val="18"/>
                <w:szCs w:val="18"/>
              </w:rPr>
            </w:pPr>
            <w:r>
              <w:rPr>
                <w:rFonts w:hint="eastAsia" w:cs="等线"/>
                <w:sz w:val="18"/>
                <w:szCs w:val="18"/>
              </w:rPr>
              <w:t>备注</w:t>
            </w:r>
          </w:p>
        </w:tc>
      </w:tr>
      <w:tr w14:paraId="08AD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1D0817A8">
            <w:pPr>
              <w:jc w:val="center"/>
              <w:rPr>
                <w:rFonts w:cs="等线"/>
                <w:sz w:val="18"/>
                <w:szCs w:val="18"/>
              </w:rPr>
            </w:pPr>
            <w:r>
              <w:rPr>
                <w:rFonts w:hint="eastAsia" w:cs="等线"/>
                <w:sz w:val="18"/>
                <w:szCs w:val="18"/>
              </w:rPr>
              <w:t>1</w:t>
            </w:r>
          </w:p>
        </w:tc>
        <w:tc>
          <w:tcPr>
            <w:tcW w:w="2137" w:type="pct"/>
            <w:vAlign w:val="center"/>
          </w:tcPr>
          <w:p w14:paraId="2D04FBE2">
            <w:pPr>
              <w:jc w:val="left"/>
              <w:rPr>
                <w:rFonts w:cs="等线"/>
                <w:sz w:val="18"/>
                <w:szCs w:val="18"/>
              </w:rPr>
            </w:pPr>
            <w:r>
              <w:rPr>
                <w:rFonts w:hint="eastAsia" w:cs="等线"/>
                <w:sz w:val="18"/>
                <w:szCs w:val="18"/>
              </w:rPr>
              <w:t>铣刨、清除沥青层</w:t>
            </w:r>
          </w:p>
          <w:p w14:paraId="288C7BE2">
            <w:pPr>
              <w:jc w:val="left"/>
              <w:rPr>
                <w:rFonts w:cs="等线"/>
                <w:sz w:val="18"/>
                <w:szCs w:val="18"/>
              </w:rPr>
            </w:pPr>
            <w:r>
              <w:rPr>
                <w:rFonts w:hint="eastAsia" w:cs="等线"/>
                <w:sz w:val="18"/>
                <w:szCs w:val="18"/>
              </w:rPr>
              <w:t>1.原沥青层14cm，铣刨深度：铣刨6cm</w:t>
            </w:r>
          </w:p>
        </w:tc>
        <w:tc>
          <w:tcPr>
            <w:tcW w:w="389" w:type="pct"/>
            <w:vAlign w:val="center"/>
          </w:tcPr>
          <w:p w14:paraId="74EDA37F">
            <w:pPr>
              <w:jc w:val="center"/>
              <w:rPr>
                <w:rFonts w:cs="等线"/>
                <w:sz w:val="18"/>
                <w:szCs w:val="18"/>
              </w:rPr>
            </w:pPr>
            <w:r>
              <w:rPr>
                <w:rFonts w:hint="eastAsia" w:cs="等线"/>
                <w:sz w:val="18"/>
                <w:szCs w:val="18"/>
              </w:rPr>
              <w:t>m³</w:t>
            </w:r>
          </w:p>
        </w:tc>
        <w:tc>
          <w:tcPr>
            <w:tcW w:w="385" w:type="pct"/>
            <w:vAlign w:val="center"/>
          </w:tcPr>
          <w:p w14:paraId="071A9AB9">
            <w:pPr>
              <w:jc w:val="center"/>
              <w:rPr>
                <w:rFonts w:cs="等线"/>
                <w:sz w:val="18"/>
                <w:szCs w:val="18"/>
              </w:rPr>
            </w:pPr>
            <w:r>
              <w:rPr>
                <w:rFonts w:hint="eastAsia" w:cs="等线"/>
                <w:sz w:val="18"/>
                <w:szCs w:val="18"/>
              </w:rPr>
              <w:t>100</w:t>
            </w:r>
          </w:p>
        </w:tc>
        <w:tc>
          <w:tcPr>
            <w:tcW w:w="399" w:type="pct"/>
            <w:vAlign w:val="center"/>
          </w:tcPr>
          <w:p w14:paraId="71A8D7A5">
            <w:pPr>
              <w:jc w:val="center"/>
              <w:rPr>
                <w:rFonts w:cs="等线"/>
                <w:sz w:val="18"/>
                <w:szCs w:val="18"/>
              </w:rPr>
            </w:pPr>
          </w:p>
        </w:tc>
        <w:tc>
          <w:tcPr>
            <w:tcW w:w="548" w:type="pct"/>
            <w:vAlign w:val="center"/>
          </w:tcPr>
          <w:p w14:paraId="329F5943">
            <w:pPr>
              <w:jc w:val="center"/>
              <w:rPr>
                <w:rFonts w:cs="等线"/>
                <w:sz w:val="18"/>
                <w:szCs w:val="18"/>
              </w:rPr>
            </w:pPr>
          </w:p>
        </w:tc>
        <w:tc>
          <w:tcPr>
            <w:tcW w:w="898" w:type="pct"/>
            <w:vAlign w:val="center"/>
          </w:tcPr>
          <w:p w14:paraId="7DAAF235">
            <w:pPr>
              <w:jc w:val="center"/>
              <w:rPr>
                <w:rFonts w:cs="等线"/>
                <w:sz w:val="18"/>
                <w:szCs w:val="18"/>
              </w:rPr>
            </w:pPr>
            <w:r>
              <w:rPr>
                <w:rFonts w:hint="eastAsia" w:cs="等线"/>
                <w:sz w:val="18"/>
                <w:szCs w:val="18"/>
              </w:rPr>
              <w:t>乙方负责铣刨装车，甲方负责运输。</w:t>
            </w:r>
          </w:p>
        </w:tc>
      </w:tr>
      <w:tr w14:paraId="26A7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3046135C">
            <w:pPr>
              <w:jc w:val="center"/>
              <w:rPr>
                <w:rFonts w:cs="等线"/>
                <w:sz w:val="18"/>
                <w:szCs w:val="18"/>
              </w:rPr>
            </w:pPr>
            <w:r>
              <w:rPr>
                <w:rFonts w:hint="eastAsia" w:cs="等线"/>
                <w:sz w:val="18"/>
                <w:szCs w:val="18"/>
              </w:rPr>
              <w:t>2</w:t>
            </w:r>
          </w:p>
        </w:tc>
        <w:tc>
          <w:tcPr>
            <w:tcW w:w="2137" w:type="pct"/>
            <w:vAlign w:val="center"/>
          </w:tcPr>
          <w:p w14:paraId="3D4522BB">
            <w:pPr>
              <w:jc w:val="left"/>
              <w:rPr>
                <w:rFonts w:cs="等线"/>
                <w:sz w:val="18"/>
                <w:szCs w:val="18"/>
              </w:rPr>
            </w:pPr>
            <w:r>
              <w:rPr>
                <w:rFonts w:hint="eastAsia" w:cs="等线"/>
                <w:sz w:val="18"/>
                <w:szCs w:val="18"/>
              </w:rPr>
              <w:t>水泥稳定碎石基层18cm+18cm分层铺设</w:t>
            </w:r>
          </w:p>
          <w:p w14:paraId="751F09E1">
            <w:pPr>
              <w:jc w:val="left"/>
              <w:rPr>
                <w:rFonts w:cs="等线"/>
                <w:sz w:val="18"/>
                <w:szCs w:val="18"/>
              </w:rPr>
            </w:pPr>
            <w:r>
              <w:rPr>
                <w:rFonts w:hint="eastAsia" w:cs="等线"/>
                <w:sz w:val="18"/>
                <w:szCs w:val="18"/>
              </w:rPr>
              <w:t>1.水稳料（甲方提供）</w:t>
            </w:r>
          </w:p>
          <w:p w14:paraId="249BB415">
            <w:pPr>
              <w:jc w:val="left"/>
              <w:rPr>
                <w:rFonts w:cs="等线"/>
                <w:sz w:val="18"/>
                <w:szCs w:val="18"/>
              </w:rPr>
            </w:pPr>
            <w:r>
              <w:rPr>
                <w:rFonts w:hint="eastAsia" w:cs="等线"/>
                <w:sz w:val="18"/>
                <w:szCs w:val="18"/>
              </w:rPr>
              <w:t>2.厚度36cm;</w:t>
            </w:r>
          </w:p>
          <w:p w14:paraId="225B4BA2">
            <w:pPr>
              <w:jc w:val="left"/>
              <w:rPr>
                <w:rFonts w:cs="等线"/>
                <w:sz w:val="18"/>
                <w:szCs w:val="18"/>
              </w:rPr>
            </w:pPr>
            <w:r>
              <w:rPr>
                <w:rFonts w:hint="eastAsia" w:cs="等线"/>
                <w:sz w:val="18"/>
                <w:szCs w:val="18"/>
              </w:rPr>
              <w:t>3.压实度≥97%;</w:t>
            </w:r>
          </w:p>
          <w:p w14:paraId="099BFF94">
            <w:pPr>
              <w:jc w:val="left"/>
              <w:rPr>
                <w:rFonts w:cs="等线"/>
                <w:sz w:val="18"/>
                <w:szCs w:val="18"/>
              </w:rPr>
            </w:pPr>
            <w:r>
              <w:rPr>
                <w:rFonts w:hint="eastAsia" w:cs="等线"/>
                <w:sz w:val="18"/>
                <w:szCs w:val="18"/>
              </w:rPr>
              <w:t>4.满铺玻纤格栅一层(拉力100KN)</w:t>
            </w:r>
          </w:p>
          <w:p w14:paraId="4E54F29A">
            <w:pPr>
              <w:jc w:val="left"/>
              <w:rPr>
                <w:rFonts w:cs="等线"/>
                <w:sz w:val="18"/>
                <w:szCs w:val="18"/>
              </w:rPr>
            </w:pPr>
            <w:r>
              <w:rPr>
                <w:rFonts w:hint="eastAsia" w:cs="等线"/>
                <w:sz w:val="18"/>
                <w:szCs w:val="18"/>
              </w:rPr>
              <w:t>5.其技术要求应符合《公路路面基层施工技术细则》(JTG/T F20一2015）相关规定；</w:t>
            </w:r>
          </w:p>
          <w:p w14:paraId="5BA6FD29">
            <w:pPr>
              <w:jc w:val="left"/>
              <w:rPr>
                <w:rFonts w:cs="等线"/>
                <w:sz w:val="18"/>
                <w:szCs w:val="18"/>
              </w:rPr>
            </w:pPr>
            <w:r>
              <w:rPr>
                <w:rFonts w:hint="eastAsia" w:cs="等线"/>
                <w:sz w:val="18"/>
                <w:szCs w:val="18"/>
              </w:rPr>
              <w:t>6.含第三方检验试验费等</w:t>
            </w:r>
          </w:p>
        </w:tc>
        <w:tc>
          <w:tcPr>
            <w:tcW w:w="389" w:type="pct"/>
            <w:vAlign w:val="center"/>
          </w:tcPr>
          <w:p w14:paraId="28069449">
            <w:pPr>
              <w:jc w:val="center"/>
              <w:rPr>
                <w:rFonts w:cs="等线"/>
                <w:sz w:val="18"/>
                <w:szCs w:val="18"/>
              </w:rPr>
            </w:pPr>
            <w:r>
              <w:rPr>
                <w:rFonts w:hint="eastAsia" w:cs="等线"/>
                <w:sz w:val="18"/>
                <w:szCs w:val="18"/>
              </w:rPr>
              <w:t>㎡</w:t>
            </w:r>
          </w:p>
        </w:tc>
        <w:tc>
          <w:tcPr>
            <w:tcW w:w="385" w:type="pct"/>
            <w:vAlign w:val="center"/>
          </w:tcPr>
          <w:p w14:paraId="4E40FF28">
            <w:pPr>
              <w:jc w:val="center"/>
              <w:rPr>
                <w:rFonts w:cs="等线"/>
                <w:sz w:val="18"/>
                <w:szCs w:val="18"/>
              </w:rPr>
            </w:pPr>
            <w:r>
              <w:rPr>
                <w:rFonts w:hint="eastAsia" w:cs="等线"/>
                <w:sz w:val="18"/>
                <w:szCs w:val="18"/>
              </w:rPr>
              <w:t>5400</w:t>
            </w:r>
          </w:p>
        </w:tc>
        <w:tc>
          <w:tcPr>
            <w:tcW w:w="399" w:type="pct"/>
            <w:vAlign w:val="center"/>
          </w:tcPr>
          <w:p w14:paraId="43C7DB53">
            <w:pPr>
              <w:jc w:val="center"/>
              <w:rPr>
                <w:rFonts w:cs="等线"/>
                <w:sz w:val="18"/>
                <w:szCs w:val="18"/>
              </w:rPr>
            </w:pPr>
          </w:p>
        </w:tc>
        <w:tc>
          <w:tcPr>
            <w:tcW w:w="548" w:type="pct"/>
            <w:vAlign w:val="center"/>
          </w:tcPr>
          <w:p w14:paraId="3139F9AC">
            <w:pPr>
              <w:jc w:val="center"/>
              <w:rPr>
                <w:rFonts w:cs="等线"/>
                <w:sz w:val="18"/>
                <w:szCs w:val="18"/>
              </w:rPr>
            </w:pPr>
          </w:p>
        </w:tc>
        <w:tc>
          <w:tcPr>
            <w:tcW w:w="898" w:type="pct"/>
            <w:vAlign w:val="center"/>
          </w:tcPr>
          <w:p w14:paraId="3FEA84A1">
            <w:pPr>
              <w:jc w:val="center"/>
              <w:rPr>
                <w:rFonts w:cs="等线"/>
                <w:sz w:val="18"/>
                <w:szCs w:val="18"/>
              </w:rPr>
            </w:pPr>
            <w:r>
              <w:rPr>
                <w:rFonts w:hint="eastAsia" w:cs="等线"/>
                <w:sz w:val="18"/>
                <w:szCs w:val="18"/>
              </w:rPr>
              <w:t>甲方负责提供水稳料，并送到施工现场。乙方负责摊铺机、人工、压路机、玻纤格栅、保温覆盖（毛毡布规格500g）、第三方质量检验等工作。</w:t>
            </w:r>
          </w:p>
        </w:tc>
      </w:tr>
      <w:tr w14:paraId="7FC1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0CB18676">
            <w:pPr>
              <w:jc w:val="center"/>
              <w:rPr>
                <w:rFonts w:cs="等线"/>
                <w:sz w:val="18"/>
                <w:szCs w:val="18"/>
              </w:rPr>
            </w:pPr>
            <w:r>
              <w:rPr>
                <w:rFonts w:hint="eastAsia" w:cs="等线"/>
                <w:sz w:val="18"/>
                <w:szCs w:val="18"/>
              </w:rPr>
              <w:t>3</w:t>
            </w:r>
          </w:p>
        </w:tc>
        <w:tc>
          <w:tcPr>
            <w:tcW w:w="2137" w:type="pct"/>
            <w:vAlign w:val="center"/>
          </w:tcPr>
          <w:p w14:paraId="3C78C9C3">
            <w:pPr>
              <w:jc w:val="left"/>
              <w:rPr>
                <w:rFonts w:cs="等线"/>
                <w:sz w:val="18"/>
                <w:szCs w:val="18"/>
              </w:rPr>
            </w:pPr>
            <w:r>
              <w:rPr>
                <w:rFonts w:hint="eastAsia" w:cs="等线"/>
                <w:sz w:val="18"/>
                <w:szCs w:val="18"/>
              </w:rPr>
              <w:t>喷洒透层乳化沥青、封层乳化沥青</w:t>
            </w:r>
          </w:p>
          <w:p w14:paraId="04E56399">
            <w:pPr>
              <w:jc w:val="left"/>
              <w:rPr>
                <w:rFonts w:cs="等线"/>
                <w:sz w:val="18"/>
                <w:szCs w:val="18"/>
              </w:rPr>
            </w:pPr>
            <w:r>
              <w:rPr>
                <w:rFonts w:hint="eastAsia" w:cs="等线"/>
                <w:sz w:val="18"/>
                <w:szCs w:val="18"/>
              </w:rPr>
              <w:t>1. 型号：高渗透型乳化沥青</w:t>
            </w:r>
          </w:p>
          <w:p w14:paraId="53CFB839">
            <w:pPr>
              <w:jc w:val="left"/>
              <w:rPr>
                <w:rFonts w:cs="等线"/>
                <w:sz w:val="18"/>
                <w:szCs w:val="18"/>
              </w:rPr>
            </w:pPr>
            <w:r>
              <w:rPr>
                <w:rFonts w:hint="eastAsia" w:cs="等线"/>
                <w:sz w:val="18"/>
                <w:szCs w:val="18"/>
              </w:rPr>
              <w:t>2. 用量：高粘/高渗透型：0.8-1L/m²</w:t>
            </w:r>
          </w:p>
          <w:p w14:paraId="048621BB">
            <w:pPr>
              <w:jc w:val="left"/>
              <w:rPr>
                <w:rFonts w:cs="等线"/>
                <w:sz w:val="18"/>
                <w:szCs w:val="18"/>
              </w:rPr>
            </w:pPr>
            <w:r>
              <w:rPr>
                <w:rFonts w:hint="eastAsia" w:cs="等线"/>
                <w:sz w:val="18"/>
                <w:szCs w:val="18"/>
              </w:rPr>
              <w:t>封层：</w:t>
            </w:r>
          </w:p>
        </w:tc>
        <w:tc>
          <w:tcPr>
            <w:tcW w:w="389" w:type="pct"/>
            <w:vAlign w:val="center"/>
          </w:tcPr>
          <w:p w14:paraId="3572EC46">
            <w:pPr>
              <w:jc w:val="center"/>
              <w:rPr>
                <w:rFonts w:cs="等线"/>
                <w:sz w:val="18"/>
                <w:szCs w:val="18"/>
              </w:rPr>
            </w:pPr>
            <w:r>
              <w:rPr>
                <w:rFonts w:hint="eastAsia" w:cs="等线"/>
                <w:sz w:val="18"/>
                <w:szCs w:val="18"/>
              </w:rPr>
              <w:t>㎡</w:t>
            </w:r>
          </w:p>
        </w:tc>
        <w:tc>
          <w:tcPr>
            <w:tcW w:w="385" w:type="pct"/>
            <w:vAlign w:val="center"/>
          </w:tcPr>
          <w:p w14:paraId="0C2C34AA">
            <w:pPr>
              <w:jc w:val="center"/>
              <w:rPr>
                <w:rFonts w:cs="等线"/>
                <w:sz w:val="18"/>
                <w:szCs w:val="18"/>
              </w:rPr>
            </w:pPr>
            <w:r>
              <w:rPr>
                <w:rFonts w:hint="eastAsia" w:cs="等线"/>
                <w:sz w:val="18"/>
                <w:szCs w:val="18"/>
              </w:rPr>
              <w:t>6200</w:t>
            </w:r>
          </w:p>
        </w:tc>
        <w:tc>
          <w:tcPr>
            <w:tcW w:w="399" w:type="pct"/>
            <w:vAlign w:val="center"/>
          </w:tcPr>
          <w:p w14:paraId="088E8E08">
            <w:pPr>
              <w:jc w:val="center"/>
              <w:rPr>
                <w:rFonts w:cs="等线"/>
                <w:sz w:val="18"/>
                <w:szCs w:val="18"/>
              </w:rPr>
            </w:pPr>
          </w:p>
        </w:tc>
        <w:tc>
          <w:tcPr>
            <w:tcW w:w="548" w:type="pct"/>
            <w:vAlign w:val="center"/>
          </w:tcPr>
          <w:p w14:paraId="72213893">
            <w:pPr>
              <w:jc w:val="center"/>
              <w:rPr>
                <w:rFonts w:cs="等线"/>
                <w:sz w:val="18"/>
                <w:szCs w:val="18"/>
              </w:rPr>
            </w:pPr>
          </w:p>
        </w:tc>
        <w:tc>
          <w:tcPr>
            <w:tcW w:w="898" w:type="pct"/>
            <w:vAlign w:val="center"/>
          </w:tcPr>
          <w:p w14:paraId="4615AB67">
            <w:pPr>
              <w:jc w:val="center"/>
              <w:rPr>
                <w:rFonts w:cs="等线"/>
                <w:sz w:val="18"/>
                <w:szCs w:val="18"/>
              </w:rPr>
            </w:pPr>
            <w:r>
              <w:rPr>
                <w:rFonts w:hint="eastAsia" w:cs="等线"/>
                <w:sz w:val="18"/>
                <w:szCs w:val="18"/>
              </w:rPr>
              <w:t>甲方提供乳化沥青，乙方负责施工、碎石封层车等措施费综合考虑</w:t>
            </w:r>
          </w:p>
        </w:tc>
      </w:tr>
      <w:tr w14:paraId="58802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3D139952">
            <w:pPr>
              <w:jc w:val="center"/>
              <w:rPr>
                <w:rFonts w:cs="等线"/>
                <w:sz w:val="18"/>
                <w:szCs w:val="18"/>
              </w:rPr>
            </w:pPr>
            <w:r>
              <w:rPr>
                <w:rFonts w:hint="eastAsia" w:cs="等线"/>
                <w:sz w:val="18"/>
                <w:szCs w:val="18"/>
              </w:rPr>
              <w:t>4</w:t>
            </w:r>
          </w:p>
        </w:tc>
        <w:tc>
          <w:tcPr>
            <w:tcW w:w="2137" w:type="pct"/>
            <w:vAlign w:val="center"/>
          </w:tcPr>
          <w:p w14:paraId="3DBBCD59">
            <w:pPr>
              <w:jc w:val="left"/>
              <w:rPr>
                <w:rFonts w:cs="等线"/>
                <w:sz w:val="18"/>
                <w:szCs w:val="18"/>
              </w:rPr>
            </w:pPr>
            <w:r>
              <w:rPr>
                <w:rFonts w:hint="eastAsia" w:cs="等线"/>
                <w:sz w:val="18"/>
                <w:szCs w:val="18"/>
              </w:rPr>
              <w:t>摊铺6cmSBS AC-20粗粒式沥青砼</w:t>
            </w:r>
          </w:p>
          <w:p w14:paraId="560B0C03">
            <w:pPr>
              <w:jc w:val="left"/>
              <w:rPr>
                <w:rFonts w:cs="等线"/>
                <w:sz w:val="18"/>
                <w:szCs w:val="18"/>
              </w:rPr>
            </w:pPr>
            <w:r>
              <w:rPr>
                <w:rFonts w:hint="eastAsia" w:cs="等线"/>
                <w:sz w:val="18"/>
                <w:szCs w:val="18"/>
              </w:rPr>
              <w:t>1.材质：sbs改性沥青；AC-20中粒式沥青混凝土；</w:t>
            </w:r>
          </w:p>
          <w:p w14:paraId="3458E075">
            <w:pPr>
              <w:jc w:val="left"/>
              <w:rPr>
                <w:rFonts w:cs="等线"/>
                <w:sz w:val="18"/>
                <w:szCs w:val="18"/>
              </w:rPr>
            </w:pPr>
            <w:r>
              <w:rPr>
                <w:rFonts w:hint="eastAsia" w:cs="等线"/>
                <w:sz w:val="18"/>
                <w:szCs w:val="18"/>
              </w:rPr>
              <w:t>2.设计厚度：6cm；</w:t>
            </w:r>
          </w:p>
          <w:p w14:paraId="178B21B5">
            <w:pPr>
              <w:jc w:val="left"/>
              <w:rPr>
                <w:rFonts w:cs="等线"/>
                <w:sz w:val="18"/>
                <w:szCs w:val="18"/>
              </w:rPr>
            </w:pPr>
            <w:r>
              <w:rPr>
                <w:rFonts w:hint="eastAsia" w:cs="等线"/>
                <w:sz w:val="18"/>
                <w:szCs w:val="18"/>
              </w:rPr>
              <w:t>3.级配：AC-20型中粒式密级配沥青混凝土。其技术要求应严格控制在《公路沥青路面施工技术规范》（JTG F40）规定的AC-20范围内。</w:t>
            </w:r>
          </w:p>
          <w:p w14:paraId="4ACA50EA">
            <w:pPr>
              <w:jc w:val="left"/>
              <w:rPr>
                <w:rFonts w:cs="等线"/>
                <w:sz w:val="18"/>
                <w:szCs w:val="18"/>
              </w:rPr>
            </w:pPr>
            <w:r>
              <w:rPr>
                <w:rFonts w:hint="eastAsia" w:cs="等线"/>
                <w:sz w:val="18"/>
                <w:szCs w:val="18"/>
              </w:rPr>
              <w:t>4.含第三方检验试验费等</w:t>
            </w:r>
          </w:p>
        </w:tc>
        <w:tc>
          <w:tcPr>
            <w:tcW w:w="389" w:type="pct"/>
            <w:vAlign w:val="center"/>
          </w:tcPr>
          <w:p w14:paraId="4C556A60">
            <w:pPr>
              <w:jc w:val="center"/>
              <w:rPr>
                <w:rFonts w:cs="等线"/>
                <w:sz w:val="18"/>
                <w:szCs w:val="18"/>
              </w:rPr>
            </w:pPr>
            <w:r>
              <w:rPr>
                <w:rFonts w:hint="eastAsia" w:cs="等线"/>
                <w:sz w:val="18"/>
                <w:szCs w:val="18"/>
              </w:rPr>
              <w:t>㎡</w:t>
            </w:r>
          </w:p>
        </w:tc>
        <w:tc>
          <w:tcPr>
            <w:tcW w:w="385" w:type="pct"/>
            <w:vAlign w:val="center"/>
          </w:tcPr>
          <w:p w14:paraId="235C80D2">
            <w:pPr>
              <w:jc w:val="center"/>
              <w:rPr>
                <w:rFonts w:cs="等线"/>
                <w:sz w:val="18"/>
                <w:szCs w:val="18"/>
              </w:rPr>
            </w:pPr>
            <w:r>
              <w:rPr>
                <w:rFonts w:hint="eastAsia" w:cs="等线"/>
                <w:sz w:val="18"/>
                <w:szCs w:val="18"/>
              </w:rPr>
              <w:t>6200</w:t>
            </w:r>
          </w:p>
        </w:tc>
        <w:tc>
          <w:tcPr>
            <w:tcW w:w="399" w:type="pct"/>
            <w:vAlign w:val="center"/>
          </w:tcPr>
          <w:p w14:paraId="2AF521C1">
            <w:pPr>
              <w:jc w:val="center"/>
              <w:rPr>
                <w:rFonts w:cs="等线"/>
                <w:sz w:val="18"/>
                <w:szCs w:val="18"/>
              </w:rPr>
            </w:pPr>
          </w:p>
        </w:tc>
        <w:tc>
          <w:tcPr>
            <w:tcW w:w="548" w:type="pct"/>
            <w:vAlign w:val="center"/>
          </w:tcPr>
          <w:p w14:paraId="125B685E">
            <w:pPr>
              <w:jc w:val="center"/>
              <w:rPr>
                <w:rFonts w:cs="等线"/>
                <w:sz w:val="18"/>
                <w:szCs w:val="18"/>
              </w:rPr>
            </w:pPr>
          </w:p>
        </w:tc>
        <w:tc>
          <w:tcPr>
            <w:tcW w:w="898" w:type="pct"/>
            <w:vAlign w:val="center"/>
          </w:tcPr>
          <w:p w14:paraId="46206691">
            <w:pPr>
              <w:jc w:val="center"/>
              <w:rPr>
                <w:rFonts w:cs="等线"/>
                <w:sz w:val="18"/>
                <w:szCs w:val="18"/>
              </w:rPr>
            </w:pPr>
            <w:r>
              <w:rPr>
                <w:rFonts w:hint="eastAsia" w:cs="等线"/>
                <w:sz w:val="18"/>
                <w:szCs w:val="18"/>
              </w:rPr>
              <w:t>甲方提供6cmSBS AC-20粗粒式沥青砼、乙方负责施工、压实、第三方检验试验费等措施费综合考虑</w:t>
            </w:r>
          </w:p>
        </w:tc>
      </w:tr>
      <w:tr w14:paraId="36D1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57AA1533">
            <w:pPr>
              <w:jc w:val="center"/>
              <w:rPr>
                <w:rFonts w:cs="等线"/>
                <w:sz w:val="18"/>
                <w:szCs w:val="18"/>
              </w:rPr>
            </w:pPr>
            <w:r>
              <w:rPr>
                <w:rFonts w:hint="eastAsia" w:cs="等线"/>
                <w:sz w:val="18"/>
                <w:szCs w:val="18"/>
              </w:rPr>
              <w:t>5</w:t>
            </w:r>
          </w:p>
        </w:tc>
        <w:tc>
          <w:tcPr>
            <w:tcW w:w="2137" w:type="pct"/>
            <w:vAlign w:val="center"/>
          </w:tcPr>
          <w:p w14:paraId="226F59AF">
            <w:pPr>
              <w:jc w:val="left"/>
              <w:rPr>
                <w:rFonts w:cs="等线"/>
                <w:sz w:val="18"/>
                <w:szCs w:val="18"/>
              </w:rPr>
            </w:pPr>
            <w:r>
              <w:rPr>
                <w:rFonts w:hint="eastAsia" w:cs="等线"/>
                <w:sz w:val="18"/>
                <w:szCs w:val="18"/>
              </w:rPr>
              <w:t>喷洒粘层乳化沥青</w:t>
            </w:r>
          </w:p>
          <w:p w14:paraId="452B7D48">
            <w:pPr>
              <w:jc w:val="left"/>
              <w:rPr>
                <w:rFonts w:cs="等线"/>
                <w:sz w:val="18"/>
                <w:szCs w:val="18"/>
              </w:rPr>
            </w:pPr>
            <w:r>
              <w:rPr>
                <w:rFonts w:hint="eastAsia" w:cs="等线"/>
                <w:sz w:val="18"/>
                <w:szCs w:val="18"/>
              </w:rPr>
              <w:t>1. SBS改性乳化沥青</w:t>
            </w:r>
          </w:p>
          <w:p w14:paraId="5468D08F">
            <w:pPr>
              <w:jc w:val="left"/>
              <w:rPr>
                <w:rFonts w:cs="等线"/>
                <w:sz w:val="18"/>
                <w:szCs w:val="18"/>
              </w:rPr>
            </w:pPr>
            <w:r>
              <w:rPr>
                <w:rFonts w:hint="eastAsia" w:cs="等线"/>
                <w:sz w:val="18"/>
                <w:szCs w:val="18"/>
              </w:rPr>
              <w:t>2. 用量：0.3-0.5 L/m²</w:t>
            </w:r>
          </w:p>
        </w:tc>
        <w:tc>
          <w:tcPr>
            <w:tcW w:w="389" w:type="pct"/>
            <w:vAlign w:val="center"/>
          </w:tcPr>
          <w:p w14:paraId="18EA8A7B">
            <w:pPr>
              <w:jc w:val="center"/>
              <w:rPr>
                <w:rFonts w:cs="等线"/>
                <w:sz w:val="18"/>
                <w:szCs w:val="18"/>
              </w:rPr>
            </w:pPr>
            <w:r>
              <w:rPr>
                <w:rFonts w:hint="eastAsia" w:cs="等线"/>
                <w:sz w:val="18"/>
                <w:szCs w:val="18"/>
              </w:rPr>
              <w:t>㎡</w:t>
            </w:r>
          </w:p>
        </w:tc>
        <w:tc>
          <w:tcPr>
            <w:tcW w:w="385" w:type="pct"/>
            <w:vAlign w:val="center"/>
          </w:tcPr>
          <w:p w14:paraId="59CD6567">
            <w:pPr>
              <w:jc w:val="center"/>
              <w:rPr>
                <w:rFonts w:cs="等线"/>
                <w:sz w:val="18"/>
                <w:szCs w:val="18"/>
              </w:rPr>
            </w:pPr>
            <w:r>
              <w:rPr>
                <w:rFonts w:hint="eastAsia" w:cs="等线"/>
                <w:sz w:val="18"/>
                <w:szCs w:val="18"/>
              </w:rPr>
              <w:t>6200</w:t>
            </w:r>
          </w:p>
        </w:tc>
        <w:tc>
          <w:tcPr>
            <w:tcW w:w="399" w:type="pct"/>
            <w:vAlign w:val="center"/>
          </w:tcPr>
          <w:p w14:paraId="482ECFD0">
            <w:pPr>
              <w:jc w:val="center"/>
              <w:rPr>
                <w:rFonts w:cs="等线"/>
                <w:sz w:val="18"/>
                <w:szCs w:val="18"/>
              </w:rPr>
            </w:pPr>
          </w:p>
        </w:tc>
        <w:tc>
          <w:tcPr>
            <w:tcW w:w="548" w:type="pct"/>
            <w:vAlign w:val="center"/>
          </w:tcPr>
          <w:p w14:paraId="7B03889A">
            <w:pPr>
              <w:jc w:val="center"/>
              <w:rPr>
                <w:rFonts w:cs="等线"/>
                <w:sz w:val="18"/>
                <w:szCs w:val="18"/>
              </w:rPr>
            </w:pPr>
          </w:p>
        </w:tc>
        <w:tc>
          <w:tcPr>
            <w:tcW w:w="898" w:type="pct"/>
            <w:vAlign w:val="center"/>
          </w:tcPr>
          <w:p w14:paraId="24DC7A6B">
            <w:pPr>
              <w:jc w:val="center"/>
              <w:rPr>
                <w:rFonts w:cs="等线"/>
                <w:sz w:val="18"/>
                <w:szCs w:val="18"/>
              </w:rPr>
            </w:pPr>
            <w:r>
              <w:rPr>
                <w:rFonts w:hint="eastAsia" w:cs="等线"/>
                <w:sz w:val="18"/>
                <w:szCs w:val="18"/>
              </w:rPr>
              <w:t>甲方提供乳化沥青，乙方负责施工、洒布车等措施费综合考虑</w:t>
            </w:r>
          </w:p>
        </w:tc>
      </w:tr>
      <w:tr w14:paraId="287A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09C49F55">
            <w:pPr>
              <w:jc w:val="center"/>
              <w:rPr>
                <w:rFonts w:cs="等线"/>
                <w:sz w:val="18"/>
                <w:szCs w:val="18"/>
              </w:rPr>
            </w:pPr>
            <w:r>
              <w:rPr>
                <w:rFonts w:hint="eastAsia" w:cs="等线"/>
                <w:sz w:val="18"/>
                <w:szCs w:val="18"/>
              </w:rPr>
              <w:t>6</w:t>
            </w:r>
          </w:p>
        </w:tc>
        <w:tc>
          <w:tcPr>
            <w:tcW w:w="2137" w:type="pct"/>
            <w:vAlign w:val="center"/>
          </w:tcPr>
          <w:p w14:paraId="70B3EE7A">
            <w:pPr>
              <w:jc w:val="left"/>
              <w:rPr>
                <w:rFonts w:cs="等线"/>
                <w:sz w:val="18"/>
                <w:szCs w:val="18"/>
              </w:rPr>
            </w:pPr>
            <w:r>
              <w:rPr>
                <w:rFonts w:hint="eastAsia" w:cs="等线"/>
                <w:sz w:val="18"/>
                <w:szCs w:val="18"/>
              </w:rPr>
              <w:t>摊铺6cmSMA 13细粒式沥青砼（玄武岩石料）。</w:t>
            </w:r>
          </w:p>
          <w:p w14:paraId="541736AB">
            <w:pPr>
              <w:jc w:val="left"/>
              <w:rPr>
                <w:rFonts w:cs="等线"/>
                <w:sz w:val="18"/>
                <w:szCs w:val="18"/>
              </w:rPr>
            </w:pPr>
            <w:r>
              <w:rPr>
                <w:rFonts w:hint="eastAsia" w:cs="等线"/>
                <w:sz w:val="18"/>
                <w:szCs w:val="18"/>
              </w:rPr>
              <w:t>1.材质：沥青玛蹄脂碎石混合料；13细粒式沥青混凝土；粗集料：采用玄武岩碎石，石料应坚硬、洁净、干燥、表面粗糙，其压碎值、磨光值、粘附性等指标须符合规范要求。</w:t>
            </w:r>
          </w:p>
          <w:p w14:paraId="66B72B8C">
            <w:pPr>
              <w:jc w:val="left"/>
              <w:rPr>
                <w:rFonts w:cs="等线"/>
                <w:sz w:val="18"/>
                <w:szCs w:val="18"/>
              </w:rPr>
            </w:pPr>
            <w:r>
              <w:rPr>
                <w:rFonts w:hint="eastAsia" w:cs="等线"/>
                <w:sz w:val="18"/>
                <w:szCs w:val="18"/>
              </w:rPr>
              <w:t>细集料：采用坚硬、洁净、干燥的玄武岩机制砂或石屑，由玄武岩碎石轧制而成，具有良好的棱角性。</w:t>
            </w:r>
          </w:p>
          <w:p w14:paraId="0916C466">
            <w:pPr>
              <w:jc w:val="left"/>
              <w:rPr>
                <w:rFonts w:cs="等线"/>
                <w:sz w:val="18"/>
                <w:szCs w:val="18"/>
              </w:rPr>
            </w:pPr>
            <w:r>
              <w:rPr>
                <w:rFonts w:hint="eastAsia" w:cs="等线"/>
                <w:sz w:val="18"/>
                <w:szCs w:val="18"/>
              </w:rPr>
              <w:t>2.设计厚度：6cm；</w:t>
            </w:r>
          </w:p>
          <w:p w14:paraId="10DBC263">
            <w:pPr>
              <w:jc w:val="left"/>
              <w:rPr>
                <w:rFonts w:cs="等线"/>
                <w:sz w:val="18"/>
                <w:szCs w:val="18"/>
              </w:rPr>
            </w:pPr>
            <w:r>
              <w:rPr>
                <w:rFonts w:hint="eastAsia" w:cs="等线"/>
                <w:sz w:val="18"/>
                <w:szCs w:val="18"/>
              </w:rPr>
              <w:t>3.级配：6cmSMA 13细粒式沥青砼。其技术要求应严格控制在《公路沥青路面施工技术规范》（JTG F40）规定的范围内。</w:t>
            </w:r>
          </w:p>
          <w:p w14:paraId="0B9A296C">
            <w:pPr>
              <w:jc w:val="left"/>
              <w:rPr>
                <w:rFonts w:cs="等线"/>
                <w:sz w:val="18"/>
                <w:szCs w:val="18"/>
              </w:rPr>
            </w:pPr>
            <w:r>
              <w:rPr>
                <w:rFonts w:hint="eastAsia" w:cs="等线"/>
                <w:sz w:val="18"/>
                <w:szCs w:val="18"/>
              </w:rPr>
              <w:t>4.含第三方检验试验费等</w:t>
            </w:r>
          </w:p>
        </w:tc>
        <w:tc>
          <w:tcPr>
            <w:tcW w:w="389" w:type="pct"/>
            <w:vAlign w:val="center"/>
          </w:tcPr>
          <w:p w14:paraId="28659EC3">
            <w:pPr>
              <w:jc w:val="center"/>
              <w:rPr>
                <w:rFonts w:cs="等线"/>
                <w:sz w:val="18"/>
                <w:szCs w:val="18"/>
              </w:rPr>
            </w:pPr>
            <w:r>
              <w:rPr>
                <w:rFonts w:hint="eastAsia" w:cs="等线"/>
                <w:sz w:val="18"/>
                <w:szCs w:val="18"/>
              </w:rPr>
              <w:t>㎡</w:t>
            </w:r>
          </w:p>
        </w:tc>
        <w:tc>
          <w:tcPr>
            <w:tcW w:w="385" w:type="pct"/>
            <w:vAlign w:val="center"/>
          </w:tcPr>
          <w:p w14:paraId="67EB5EBF">
            <w:pPr>
              <w:jc w:val="center"/>
              <w:rPr>
                <w:rFonts w:cs="等线"/>
                <w:sz w:val="18"/>
                <w:szCs w:val="18"/>
              </w:rPr>
            </w:pPr>
            <w:r>
              <w:rPr>
                <w:rFonts w:hint="eastAsia" w:cs="等线"/>
                <w:sz w:val="18"/>
                <w:szCs w:val="18"/>
              </w:rPr>
              <w:t>6200</w:t>
            </w:r>
          </w:p>
        </w:tc>
        <w:tc>
          <w:tcPr>
            <w:tcW w:w="399" w:type="pct"/>
            <w:vAlign w:val="center"/>
          </w:tcPr>
          <w:p w14:paraId="05DFB488">
            <w:pPr>
              <w:jc w:val="center"/>
              <w:rPr>
                <w:rFonts w:cs="等线"/>
                <w:sz w:val="18"/>
                <w:szCs w:val="18"/>
              </w:rPr>
            </w:pPr>
          </w:p>
        </w:tc>
        <w:tc>
          <w:tcPr>
            <w:tcW w:w="548" w:type="pct"/>
            <w:vAlign w:val="center"/>
          </w:tcPr>
          <w:p w14:paraId="66193DE1">
            <w:pPr>
              <w:jc w:val="center"/>
              <w:rPr>
                <w:rFonts w:cs="等线"/>
                <w:sz w:val="18"/>
                <w:szCs w:val="18"/>
              </w:rPr>
            </w:pPr>
          </w:p>
        </w:tc>
        <w:tc>
          <w:tcPr>
            <w:tcW w:w="898" w:type="pct"/>
            <w:vAlign w:val="center"/>
          </w:tcPr>
          <w:p w14:paraId="4A3B3963">
            <w:pPr>
              <w:jc w:val="center"/>
              <w:rPr>
                <w:rFonts w:cs="等线"/>
                <w:sz w:val="18"/>
                <w:szCs w:val="18"/>
              </w:rPr>
            </w:pPr>
            <w:r>
              <w:rPr>
                <w:rFonts w:hint="eastAsia" w:cs="等线"/>
                <w:sz w:val="18"/>
                <w:szCs w:val="18"/>
              </w:rPr>
              <w:t>甲方提供6cmSMA 13细粒式沥青砼（玄武岩石料）、乙方负责施工、压实、第三方检验试验费等措施费综合考虑</w:t>
            </w:r>
          </w:p>
        </w:tc>
      </w:tr>
      <w:tr w14:paraId="7231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trPr>
        <w:tc>
          <w:tcPr>
            <w:tcW w:w="243" w:type="pct"/>
            <w:vAlign w:val="center"/>
          </w:tcPr>
          <w:p w14:paraId="6F460E5B">
            <w:pPr>
              <w:jc w:val="center"/>
              <w:rPr>
                <w:rFonts w:cs="等线"/>
                <w:sz w:val="18"/>
                <w:szCs w:val="18"/>
              </w:rPr>
            </w:pPr>
            <w:r>
              <w:rPr>
                <w:rFonts w:hint="eastAsia" w:cs="等线"/>
                <w:sz w:val="18"/>
                <w:szCs w:val="18"/>
              </w:rPr>
              <w:t>7</w:t>
            </w:r>
          </w:p>
        </w:tc>
        <w:tc>
          <w:tcPr>
            <w:tcW w:w="2137" w:type="pct"/>
            <w:vAlign w:val="center"/>
          </w:tcPr>
          <w:p w14:paraId="15CF1BD7">
            <w:pPr>
              <w:jc w:val="left"/>
              <w:rPr>
                <w:rFonts w:cs="等线"/>
                <w:sz w:val="18"/>
                <w:szCs w:val="18"/>
              </w:rPr>
            </w:pPr>
            <w:r>
              <w:rPr>
                <w:rFonts w:hint="eastAsia" w:cs="等线"/>
                <w:sz w:val="18"/>
                <w:szCs w:val="18"/>
              </w:rPr>
              <w:t>暂列金</w:t>
            </w:r>
          </w:p>
        </w:tc>
        <w:tc>
          <w:tcPr>
            <w:tcW w:w="389" w:type="pct"/>
            <w:vAlign w:val="center"/>
          </w:tcPr>
          <w:p w14:paraId="73987536">
            <w:pPr>
              <w:jc w:val="center"/>
              <w:rPr>
                <w:rFonts w:cs="等线"/>
                <w:sz w:val="18"/>
                <w:szCs w:val="18"/>
              </w:rPr>
            </w:pPr>
            <w:r>
              <w:rPr>
                <w:rFonts w:hint="eastAsia" w:cs="等线"/>
                <w:sz w:val="18"/>
                <w:szCs w:val="18"/>
              </w:rPr>
              <w:t>元</w:t>
            </w:r>
          </w:p>
        </w:tc>
        <w:tc>
          <w:tcPr>
            <w:tcW w:w="385" w:type="pct"/>
            <w:vAlign w:val="center"/>
          </w:tcPr>
          <w:p w14:paraId="599928EE">
            <w:pPr>
              <w:jc w:val="center"/>
              <w:rPr>
                <w:rFonts w:cs="等线"/>
                <w:sz w:val="18"/>
                <w:szCs w:val="18"/>
              </w:rPr>
            </w:pPr>
          </w:p>
        </w:tc>
        <w:tc>
          <w:tcPr>
            <w:tcW w:w="399" w:type="pct"/>
            <w:vAlign w:val="center"/>
          </w:tcPr>
          <w:p w14:paraId="0E6156A8">
            <w:pPr>
              <w:jc w:val="center"/>
              <w:rPr>
                <w:rFonts w:cs="等线"/>
                <w:sz w:val="18"/>
                <w:szCs w:val="18"/>
              </w:rPr>
            </w:pPr>
          </w:p>
        </w:tc>
        <w:tc>
          <w:tcPr>
            <w:tcW w:w="548" w:type="pct"/>
            <w:vAlign w:val="center"/>
          </w:tcPr>
          <w:p w14:paraId="64F5D0E8">
            <w:pPr>
              <w:jc w:val="center"/>
              <w:rPr>
                <w:rFonts w:cs="等线"/>
                <w:sz w:val="18"/>
                <w:szCs w:val="18"/>
              </w:rPr>
            </w:pPr>
            <w:r>
              <w:rPr>
                <w:rFonts w:hint="eastAsia" w:cs="等线"/>
                <w:sz w:val="18"/>
                <w:szCs w:val="18"/>
              </w:rPr>
              <w:t>40000</w:t>
            </w:r>
          </w:p>
        </w:tc>
        <w:tc>
          <w:tcPr>
            <w:tcW w:w="898" w:type="pct"/>
            <w:vAlign w:val="center"/>
          </w:tcPr>
          <w:p w14:paraId="57754702">
            <w:pPr>
              <w:jc w:val="center"/>
              <w:rPr>
                <w:rFonts w:cs="等线"/>
                <w:sz w:val="18"/>
                <w:szCs w:val="18"/>
              </w:rPr>
            </w:pPr>
            <w:r>
              <w:rPr>
                <w:rFonts w:hint="eastAsia" w:cs="等线"/>
                <w:sz w:val="18"/>
                <w:szCs w:val="18"/>
              </w:rPr>
              <w:t>暂列金额按照工程量清单中列出的金额填写，不能通过修改此项报价来竞争。</w:t>
            </w:r>
          </w:p>
        </w:tc>
      </w:tr>
      <w:tr w14:paraId="030F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243" w:type="pct"/>
            <w:vAlign w:val="center"/>
          </w:tcPr>
          <w:p w14:paraId="02F466D6">
            <w:pPr>
              <w:jc w:val="center"/>
              <w:rPr>
                <w:rFonts w:cs="等线"/>
                <w:sz w:val="18"/>
                <w:szCs w:val="18"/>
              </w:rPr>
            </w:pPr>
            <w:r>
              <w:rPr>
                <w:rFonts w:hint="eastAsia" w:cs="等线"/>
                <w:sz w:val="18"/>
                <w:szCs w:val="18"/>
              </w:rPr>
              <w:t>8</w:t>
            </w:r>
          </w:p>
        </w:tc>
        <w:tc>
          <w:tcPr>
            <w:tcW w:w="2137" w:type="pct"/>
            <w:vAlign w:val="center"/>
          </w:tcPr>
          <w:p w14:paraId="1742D2B6">
            <w:pPr>
              <w:jc w:val="center"/>
              <w:rPr>
                <w:rFonts w:cs="等线"/>
                <w:sz w:val="18"/>
                <w:szCs w:val="18"/>
              </w:rPr>
            </w:pPr>
            <w:r>
              <w:rPr>
                <w:rFonts w:hint="eastAsia" w:cs="等线"/>
                <w:sz w:val="18"/>
                <w:szCs w:val="18"/>
              </w:rPr>
              <w:t>合计</w:t>
            </w:r>
          </w:p>
        </w:tc>
        <w:tc>
          <w:tcPr>
            <w:tcW w:w="389" w:type="pct"/>
            <w:vAlign w:val="center"/>
          </w:tcPr>
          <w:p w14:paraId="6E5DF313">
            <w:pPr>
              <w:jc w:val="center"/>
              <w:rPr>
                <w:rFonts w:cs="等线"/>
                <w:sz w:val="18"/>
                <w:szCs w:val="18"/>
              </w:rPr>
            </w:pPr>
          </w:p>
        </w:tc>
        <w:tc>
          <w:tcPr>
            <w:tcW w:w="385" w:type="pct"/>
            <w:vAlign w:val="center"/>
          </w:tcPr>
          <w:p w14:paraId="135C0E4C">
            <w:pPr>
              <w:jc w:val="center"/>
              <w:rPr>
                <w:rFonts w:cs="等线"/>
                <w:sz w:val="18"/>
                <w:szCs w:val="18"/>
              </w:rPr>
            </w:pPr>
          </w:p>
        </w:tc>
        <w:tc>
          <w:tcPr>
            <w:tcW w:w="399" w:type="pct"/>
            <w:vAlign w:val="center"/>
          </w:tcPr>
          <w:p w14:paraId="0314CE59">
            <w:pPr>
              <w:jc w:val="center"/>
              <w:rPr>
                <w:rFonts w:cs="等线"/>
                <w:sz w:val="18"/>
                <w:szCs w:val="18"/>
              </w:rPr>
            </w:pPr>
          </w:p>
        </w:tc>
        <w:tc>
          <w:tcPr>
            <w:tcW w:w="548" w:type="pct"/>
            <w:vAlign w:val="center"/>
          </w:tcPr>
          <w:p w14:paraId="56662EEA">
            <w:pPr>
              <w:jc w:val="center"/>
              <w:rPr>
                <w:rFonts w:cs="等线"/>
                <w:sz w:val="18"/>
                <w:szCs w:val="18"/>
              </w:rPr>
            </w:pPr>
          </w:p>
        </w:tc>
        <w:tc>
          <w:tcPr>
            <w:tcW w:w="898" w:type="pct"/>
            <w:vAlign w:val="center"/>
          </w:tcPr>
          <w:p w14:paraId="245270D3">
            <w:pPr>
              <w:jc w:val="center"/>
              <w:rPr>
                <w:rFonts w:cs="等线"/>
                <w:sz w:val="18"/>
                <w:szCs w:val="18"/>
              </w:rPr>
            </w:pPr>
          </w:p>
        </w:tc>
      </w:tr>
    </w:tbl>
    <w:p w14:paraId="37BD518A">
      <w:pPr>
        <w:keepNext/>
        <w:keepLines/>
        <w:spacing w:before="100" w:line="400" w:lineRule="exact"/>
        <w:outlineLvl w:val="1"/>
        <w:rPr>
          <w:rFonts w:ascii="Times New Roman" w:hAnsi="Times New Roman" w:eastAsia="黑体"/>
          <w:kern w:val="0"/>
          <w:sz w:val="28"/>
          <w:szCs w:val="20"/>
        </w:rPr>
      </w:pPr>
    </w:p>
    <w:p w14:paraId="1F71F805">
      <w:r>
        <w:rPr>
          <w:rFonts w:ascii="Times New Roman" w:hAnsi="Times New Roman"/>
          <w:color w:val="000000"/>
        </w:rPr>
        <w:br w:type="page"/>
      </w:r>
    </w:p>
    <w:p w14:paraId="0BF070A2">
      <w:pPr>
        <w:pStyle w:val="2"/>
        <w:spacing w:line="300" w:lineRule="auto"/>
        <w:jc w:val="center"/>
        <w:rPr>
          <w:rFonts w:hint="default" w:eastAsia="黑体"/>
          <w:color w:val="000000"/>
        </w:rPr>
      </w:pPr>
      <w:bookmarkStart w:id="767" w:name="_Toc8062"/>
      <w:bookmarkStart w:id="768" w:name="_Toc24336"/>
      <w:bookmarkStart w:id="769" w:name="_Toc9156"/>
      <w:r>
        <w:rPr>
          <w:rFonts w:eastAsia="黑体"/>
          <w:color w:val="000000"/>
        </w:rPr>
        <w:t>二、投标书技术标格式</w:t>
      </w:r>
      <w:bookmarkEnd w:id="767"/>
      <w:bookmarkEnd w:id="768"/>
      <w:bookmarkEnd w:id="769"/>
    </w:p>
    <w:p w14:paraId="4492628B">
      <w:pPr>
        <w:pStyle w:val="3"/>
        <w:spacing w:before="0" w:after="0" w:line="300" w:lineRule="auto"/>
        <w:jc w:val="center"/>
      </w:pPr>
      <w:bookmarkStart w:id="770" w:name="_Toc29439"/>
      <w:bookmarkStart w:id="771" w:name="_Toc29064"/>
      <w:bookmarkStart w:id="772" w:name="_Toc6879"/>
      <w:r>
        <w:rPr>
          <w:rFonts w:ascii="Times New Roman" w:hAnsi="Times New Roman"/>
          <w:color w:val="000000"/>
        </w:rPr>
        <w:t>（一）施工组织设计</w:t>
      </w:r>
      <w:bookmarkEnd w:id="770"/>
      <w:bookmarkEnd w:id="771"/>
      <w:bookmarkEnd w:id="772"/>
    </w:p>
    <w:bookmarkEnd w:id="746"/>
    <w:bookmarkEnd w:id="747"/>
    <w:bookmarkEnd w:id="748"/>
    <w:bookmarkEnd w:id="749"/>
    <w:bookmarkEnd w:id="750"/>
    <w:bookmarkEnd w:id="751"/>
    <w:bookmarkEnd w:id="752"/>
    <w:bookmarkEnd w:id="753"/>
    <w:p w14:paraId="43BEDC67">
      <w:pPr>
        <w:spacing w:line="300" w:lineRule="auto"/>
        <w:ind w:firstLine="480" w:firstLineChars="200"/>
        <w:rPr>
          <w:rFonts w:cs="等线"/>
          <w:color w:val="000000"/>
          <w:sz w:val="24"/>
        </w:rPr>
      </w:pPr>
      <w:r>
        <w:rPr>
          <w:rFonts w:hint="eastAsia" w:cs="等线"/>
          <w:color w:val="000000"/>
          <w:sz w:val="24"/>
        </w:rPr>
        <w:t>投标人应按照本章节要求编制施工组织设计，内容应针对本项目特点，重点阐述保证工程质量合格与确保按期完工的具体方案与措施。要求内容简明扼要、重点突出、措施可行。</w:t>
      </w:r>
    </w:p>
    <w:p w14:paraId="3088ABED">
      <w:pPr>
        <w:spacing w:line="300" w:lineRule="auto"/>
        <w:ind w:firstLine="480" w:firstLineChars="200"/>
        <w:rPr>
          <w:rFonts w:cs="等线"/>
          <w:color w:val="000000"/>
          <w:sz w:val="24"/>
        </w:rPr>
      </w:pPr>
      <w:r>
        <w:rPr>
          <w:rFonts w:hint="eastAsia" w:cs="等线"/>
          <w:color w:val="000000"/>
          <w:sz w:val="24"/>
        </w:rPr>
        <w:t>1.编制内容要求</w:t>
      </w:r>
      <w:r>
        <w:rPr>
          <w:rFonts w:hint="eastAsia" w:cs="等线"/>
          <w:color w:val="000000"/>
          <w:sz w:val="24"/>
        </w:rPr>
        <w:br w:type="textWrapping"/>
      </w:r>
      <w:r>
        <w:rPr>
          <w:rFonts w:hint="eastAsia" w:cs="等线"/>
          <w:color w:val="000000"/>
          <w:sz w:val="24"/>
        </w:rPr>
        <w:t>施工组织设计应至少包含以下章节，并按顺序编制：</w:t>
      </w:r>
    </w:p>
    <w:p w14:paraId="22E25279">
      <w:pPr>
        <w:spacing w:line="300" w:lineRule="auto"/>
        <w:ind w:firstLine="480" w:firstLineChars="200"/>
        <w:rPr>
          <w:rFonts w:cs="等线"/>
          <w:color w:val="000000"/>
          <w:sz w:val="24"/>
        </w:rPr>
      </w:pPr>
      <w:r>
        <w:rPr>
          <w:rFonts w:hint="eastAsia" w:cs="等线"/>
          <w:color w:val="000000"/>
          <w:sz w:val="24"/>
        </w:rPr>
        <w:t>第一章 工程概况与目标承诺</w:t>
      </w:r>
    </w:p>
    <w:p w14:paraId="281D679E">
      <w:pPr>
        <w:spacing w:line="300" w:lineRule="auto"/>
        <w:ind w:firstLine="480" w:firstLineChars="200"/>
        <w:rPr>
          <w:rFonts w:cs="等线"/>
          <w:color w:val="000000"/>
          <w:sz w:val="24"/>
        </w:rPr>
      </w:pPr>
      <w:r>
        <w:rPr>
          <w:rFonts w:hint="eastAsia" w:cs="等线"/>
          <w:color w:val="000000"/>
          <w:sz w:val="24"/>
        </w:rPr>
        <w:t>简述对本项目的理解，明确承诺的质量目标（必须达到国家施工质量验收合格标准）和工期目标（关键工期6日历天，并承诺确保两个关键节点工期）。</w:t>
      </w:r>
    </w:p>
    <w:p w14:paraId="35C05971">
      <w:pPr>
        <w:spacing w:line="300" w:lineRule="auto"/>
        <w:ind w:firstLine="480" w:firstLineChars="200"/>
        <w:rPr>
          <w:rFonts w:cs="等线"/>
          <w:color w:val="000000"/>
          <w:sz w:val="24"/>
        </w:rPr>
      </w:pPr>
      <w:r>
        <w:rPr>
          <w:rFonts w:hint="eastAsia" w:cs="等线"/>
          <w:color w:val="000000"/>
          <w:sz w:val="24"/>
        </w:rPr>
        <w:t>第二章 确保工程质量合格的主要措施</w:t>
      </w:r>
    </w:p>
    <w:p w14:paraId="32DBA791">
      <w:pPr>
        <w:spacing w:line="300" w:lineRule="auto"/>
        <w:ind w:firstLine="480" w:firstLineChars="200"/>
        <w:rPr>
          <w:rFonts w:cs="等线"/>
          <w:color w:val="000000"/>
          <w:sz w:val="24"/>
        </w:rPr>
      </w:pPr>
      <w:r>
        <w:rPr>
          <w:rFonts w:hint="eastAsia" w:cs="等线"/>
          <w:color w:val="000000"/>
          <w:sz w:val="24"/>
        </w:rPr>
        <w:t>投标人须详细阐述为达到合格质量标准所采取的具体、可操作的保障措施。</w:t>
      </w:r>
    </w:p>
    <w:p w14:paraId="4675294C">
      <w:pPr>
        <w:spacing w:line="300" w:lineRule="auto"/>
        <w:ind w:firstLine="480" w:firstLineChars="200"/>
        <w:rPr>
          <w:rFonts w:cs="等线"/>
          <w:color w:val="000000"/>
          <w:sz w:val="24"/>
        </w:rPr>
      </w:pPr>
      <w:r>
        <w:rPr>
          <w:rFonts w:hint="eastAsia" w:cs="等线"/>
          <w:color w:val="000000"/>
          <w:sz w:val="24"/>
        </w:rPr>
        <w:t>关键工序质量控制点及控制方法：针对铣刨深度、水稳层压实度与养护、沥青混合料、路面压实度与平整度等关键工序，说明拟采用的技术控制标准、检测频率和方法。</w:t>
      </w:r>
    </w:p>
    <w:p w14:paraId="1FF7562E">
      <w:pPr>
        <w:spacing w:line="300" w:lineRule="auto"/>
        <w:ind w:firstLine="480" w:firstLineChars="200"/>
        <w:rPr>
          <w:rFonts w:cs="等线"/>
          <w:color w:val="000000"/>
          <w:sz w:val="24"/>
        </w:rPr>
      </w:pPr>
      <w:r>
        <w:rPr>
          <w:rFonts w:hint="eastAsia" w:cs="等线"/>
          <w:color w:val="000000"/>
          <w:sz w:val="24"/>
        </w:rPr>
        <w:t>质量保证体系：说明现场质量管理组织架构、人员职责，以及检查制度的运行机制。</w:t>
      </w:r>
    </w:p>
    <w:p w14:paraId="67CF1F5F">
      <w:pPr>
        <w:spacing w:line="300" w:lineRule="auto"/>
        <w:ind w:firstLine="480" w:firstLineChars="200"/>
        <w:rPr>
          <w:rFonts w:cs="等线"/>
          <w:color w:val="000000"/>
          <w:sz w:val="24"/>
        </w:rPr>
      </w:pPr>
      <w:r>
        <w:rPr>
          <w:rFonts w:hint="eastAsia" w:cs="等线"/>
          <w:color w:val="000000"/>
          <w:sz w:val="24"/>
        </w:rPr>
        <w:t>冬季施工质量保障专项措施：结合2月份施工的气候条件，说明保证基层施工质量的具体技术措施（如保温、摊铺机选择、养护方法等）。</w:t>
      </w:r>
    </w:p>
    <w:p w14:paraId="0BD59A18">
      <w:pPr>
        <w:spacing w:line="300" w:lineRule="auto"/>
        <w:ind w:firstLine="480" w:firstLineChars="200"/>
        <w:rPr>
          <w:rFonts w:cs="等线"/>
          <w:color w:val="000000"/>
          <w:sz w:val="24"/>
        </w:rPr>
      </w:pPr>
      <w:r>
        <w:rPr>
          <w:rFonts w:hint="eastAsia" w:cs="等线"/>
          <w:color w:val="000000"/>
          <w:sz w:val="24"/>
        </w:rPr>
        <w:t>第三章 确保工期按期完成的主要措施</w:t>
      </w:r>
    </w:p>
    <w:p w14:paraId="28C26B50">
      <w:pPr>
        <w:spacing w:line="300" w:lineRule="auto"/>
        <w:ind w:firstLine="480" w:firstLineChars="200"/>
        <w:rPr>
          <w:rFonts w:cs="等线"/>
          <w:color w:val="000000"/>
          <w:sz w:val="24"/>
        </w:rPr>
      </w:pPr>
      <w:r>
        <w:rPr>
          <w:rFonts w:hint="eastAsia" w:cs="等线"/>
          <w:color w:val="000000"/>
          <w:sz w:val="24"/>
        </w:rPr>
        <w:t>投标人须详细阐述为在6日历天内，特别是确保两个强制节点工期的实现，所制定的具体、可靠的保障措施。内容应包括但不限于：</w:t>
      </w:r>
    </w:p>
    <w:p w14:paraId="4DA07B90">
      <w:pPr>
        <w:spacing w:line="300" w:lineRule="auto"/>
        <w:ind w:firstLine="480" w:firstLineChars="200"/>
        <w:rPr>
          <w:rFonts w:cs="等线"/>
          <w:color w:val="000000"/>
          <w:sz w:val="24"/>
        </w:rPr>
      </w:pPr>
      <w:r>
        <w:rPr>
          <w:rFonts w:hint="eastAsia" w:cs="等线"/>
          <w:color w:val="000000"/>
          <w:sz w:val="24"/>
        </w:rPr>
        <w:t>施工进度计划：必须提交以小时或半日为单位的详细施工进度计划表（绘制横道图），清晰显示各工序的起止时间、衔接关系和关键线路。</w:t>
      </w:r>
    </w:p>
    <w:p w14:paraId="11ED3CE5">
      <w:pPr>
        <w:spacing w:line="300" w:lineRule="auto"/>
        <w:ind w:firstLine="480" w:firstLineChars="200"/>
        <w:rPr>
          <w:rFonts w:cs="等线"/>
          <w:color w:val="000000"/>
          <w:sz w:val="24"/>
        </w:rPr>
      </w:pPr>
      <w:r>
        <w:rPr>
          <w:rFonts w:hint="eastAsia" w:cs="等线"/>
          <w:color w:val="000000"/>
          <w:sz w:val="24"/>
        </w:rPr>
        <w:t>资源超配投入计划：说明为满足工期要求，拟投入的施工设备数量、型号（见附表一）及劳动力数量、工种安排（见附表二），并证明其充足性。</w:t>
      </w:r>
    </w:p>
    <w:p w14:paraId="78E9290C">
      <w:pPr>
        <w:spacing w:line="300" w:lineRule="auto"/>
        <w:ind w:firstLine="480" w:firstLineChars="200"/>
        <w:rPr>
          <w:rFonts w:cs="等线"/>
          <w:color w:val="000000"/>
          <w:sz w:val="24"/>
        </w:rPr>
      </w:pPr>
      <w:r>
        <w:rPr>
          <w:rFonts w:hint="eastAsia" w:cs="等线"/>
          <w:color w:val="000000"/>
          <w:sz w:val="24"/>
        </w:rPr>
        <w:t>春节前后连续施工保障方案：具体说明为保障春节前后（2月13-14日及24-27日）连续施工，在人员组织、后勤保障、激励措施等方面的详细安排。</w:t>
      </w:r>
    </w:p>
    <w:p w14:paraId="57DF78BA">
      <w:pPr>
        <w:spacing w:line="300" w:lineRule="auto"/>
        <w:ind w:firstLine="480" w:firstLineChars="200"/>
        <w:rPr>
          <w:rFonts w:cs="等线"/>
          <w:color w:val="000000"/>
          <w:sz w:val="24"/>
        </w:rPr>
      </w:pPr>
      <w:r>
        <w:rPr>
          <w:rFonts w:hint="eastAsia" w:cs="等线"/>
          <w:color w:val="000000"/>
          <w:sz w:val="24"/>
        </w:rPr>
        <w:t>工序衔接与交通组织方案：说明如何优化铣刨、摊铺、碾压等工序的衔接，以最大化作业效率。</w:t>
      </w:r>
    </w:p>
    <w:p w14:paraId="064FF344">
      <w:pPr>
        <w:spacing w:line="300" w:lineRule="auto"/>
        <w:ind w:firstLine="480" w:firstLineChars="200"/>
        <w:rPr>
          <w:rFonts w:cs="等线"/>
          <w:color w:val="000000"/>
          <w:sz w:val="24"/>
        </w:rPr>
      </w:pPr>
      <w:r>
        <w:rPr>
          <w:rFonts w:hint="eastAsia" w:cs="等线"/>
          <w:color w:val="000000"/>
          <w:sz w:val="24"/>
        </w:rPr>
        <w:t>应急预案：针对可能影响工期的突发情况（如恶劣天气、设备故障），提出具体的应急人员和物资准备方案。</w:t>
      </w:r>
    </w:p>
    <w:p w14:paraId="7B934653">
      <w:pPr>
        <w:spacing w:line="300" w:lineRule="auto"/>
        <w:ind w:firstLine="480" w:firstLineChars="200"/>
        <w:rPr>
          <w:rFonts w:cs="等线"/>
          <w:color w:val="000000"/>
          <w:sz w:val="24"/>
        </w:rPr>
      </w:pPr>
      <w:r>
        <w:rPr>
          <w:rFonts w:hint="eastAsia" w:cs="等线"/>
          <w:color w:val="000000"/>
          <w:sz w:val="24"/>
        </w:rPr>
        <w:t>第四章 安全生产、文明施工与环境保护简要措施</w:t>
      </w:r>
    </w:p>
    <w:p w14:paraId="10B52824">
      <w:pPr>
        <w:spacing w:line="300" w:lineRule="auto"/>
        <w:ind w:firstLine="480" w:firstLineChars="200"/>
        <w:rPr>
          <w:rFonts w:cs="等线"/>
          <w:color w:val="000000"/>
          <w:sz w:val="24"/>
        </w:rPr>
      </w:pPr>
      <w:r>
        <w:rPr>
          <w:rFonts w:hint="eastAsia" w:cs="等线"/>
          <w:color w:val="000000"/>
          <w:sz w:val="24"/>
        </w:rPr>
        <w:t>简要说明针对本项目现场特点拟采取的主要安全防护、文明施工和环境保护措施。</w:t>
      </w:r>
    </w:p>
    <w:p w14:paraId="636D3BC4">
      <w:pPr>
        <w:spacing w:line="300" w:lineRule="auto"/>
        <w:ind w:left="479" w:leftChars="228"/>
        <w:rPr>
          <w:rFonts w:cs="等线"/>
          <w:color w:val="000000"/>
          <w:sz w:val="24"/>
        </w:rPr>
      </w:pPr>
      <w:r>
        <w:rPr>
          <w:rFonts w:hint="eastAsia" w:cs="等线"/>
          <w:color w:val="000000"/>
          <w:sz w:val="24"/>
        </w:rPr>
        <w:t>2.图表格式要求</w:t>
      </w:r>
      <w:r>
        <w:rPr>
          <w:rFonts w:hint="eastAsia" w:cs="等线"/>
          <w:color w:val="000000"/>
          <w:sz w:val="24"/>
        </w:rPr>
        <w:br w:type="textWrapping"/>
      </w:r>
      <w:r>
        <w:rPr>
          <w:rFonts w:hint="eastAsia" w:cs="等线"/>
          <w:color w:val="000000"/>
          <w:sz w:val="24"/>
        </w:rPr>
        <w:t>投标人必须按要求填写并提交以下表格，作为施工组织设计的重要组成部分：</w:t>
      </w:r>
    </w:p>
    <w:p w14:paraId="0413C2F4">
      <w:pPr>
        <w:pStyle w:val="16"/>
        <w:shd w:val="clear" w:color="auto" w:fill="FFFFFF"/>
        <w:spacing w:line="300" w:lineRule="auto"/>
        <w:jc w:val="center"/>
        <w:rPr>
          <w:rFonts w:eastAsia="等线"/>
          <w:color w:val="000000"/>
          <w:szCs w:val="22"/>
        </w:rPr>
      </w:pPr>
      <w:r>
        <w:rPr>
          <w:rFonts w:eastAsia="等线"/>
          <w:color w:val="000000"/>
          <w:szCs w:val="22"/>
        </w:rPr>
        <w:t>附表一：拟投入本项目的主要施工设备表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980"/>
        <w:gridCol w:w="1563"/>
        <w:gridCol w:w="911"/>
        <w:gridCol w:w="1362"/>
        <w:gridCol w:w="1902"/>
        <w:gridCol w:w="1578"/>
      </w:tblGrid>
      <w:tr w14:paraId="6FAD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42" w:hRule="exact"/>
          <w:tblHeader/>
        </w:trPr>
        <w:tc>
          <w:tcPr>
            <w:tcW w:w="1145" w:type="dxa"/>
            <w:tcMar>
              <w:top w:w="150" w:type="dxa"/>
              <w:left w:w="0" w:type="dxa"/>
              <w:bottom w:w="150" w:type="dxa"/>
              <w:right w:w="240" w:type="dxa"/>
            </w:tcMar>
            <w:vAlign w:val="center"/>
          </w:tcPr>
          <w:p w14:paraId="1FAD3853">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序号</w:t>
            </w:r>
          </w:p>
        </w:tc>
        <w:tc>
          <w:tcPr>
            <w:tcW w:w="1838" w:type="dxa"/>
            <w:tcMar>
              <w:top w:w="150" w:type="dxa"/>
              <w:left w:w="240" w:type="dxa"/>
              <w:bottom w:w="150" w:type="dxa"/>
              <w:right w:w="240" w:type="dxa"/>
            </w:tcMar>
            <w:vAlign w:val="center"/>
          </w:tcPr>
          <w:p w14:paraId="428ACBC6">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设备名称</w:t>
            </w:r>
          </w:p>
        </w:tc>
        <w:tc>
          <w:tcPr>
            <w:tcW w:w="979" w:type="dxa"/>
            <w:tcMar>
              <w:top w:w="150" w:type="dxa"/>
              <w:left w:w="240" w:type="dxa"/>
              <w:bottom w:w="150" w:type="dxa"/>
              <w:right w:w="240" w:type="dxa"/>
            </w:tcMar>
            <w:vAlign w:val="center"/>
          </w:tcPr>
          <w:p w14:paraId="7FCCD837">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型号规格</w:t>
            </w:r>
          </w:p>
        </w:tc>
        <w:tc>
          <w:tcPr>
            <w:tcW w:w="1503" w:type="dxa"/>
            <w:tcMar>
              <w:top w:w="150" w:type="dxa"/>
              <w:left w:w="240" w:type="dxa"/>
              <w:bottom w:w="150" w:type="dxa"/>
              <w:right w:w="240" w:type="dxa"/>
            </w:tcMar>
            <w:vAlign w:val="center"/>
          </w:tcPr>
          <w:p w14:paraId="0D0174AC">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数量</w:t>
            </w:r>
          </w:p>
          <w:p w14:paraId="080E947E">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（台/套）</w:t>
            </w:r>
          </w:p>
        </w:tc>
        <w:tc>
          <w:tcPr>
            <w:tcW w:w="2286" w:type="dxa"/>
            <w:tcMar>
              <w:top w:w="150" w:type="dxa"/>
              <w:left w:w="240" w:type="dxa"/>
              <w:bottom w:w="150" w:type="dxa"/>
              <w:right w:w="240" w:type="dxa"/>
            </w:tcMar>
            <w:vAlign w:val="center"/>
          </w:tcPr>
          <w:p w14:paraId="55414C1D">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用于施工部位</w:t>
            </w:r>
          </w:p>
        </w:tc>
        <w:tc>
          <w:tcPr>
            <w:tcW w:w="1787" w:type="dxa"/>
            <w:tcMar>
              <w:top w:w="150" w:type="dxa"/>
              <w:left w:w="240" w:type="dxa"/>
              <w:bottom w:w="150" w:type="dxa"/>
              <w:right w:w="240" w:type="dxa"/>
            </w:tcMar>
            <w:vAlign w:val="center"/>
          </w:tcPr>
          <w:p w14:paraId="5C165711">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备注（如为自有/租赁）</w:t>
            </w:r>
          </w:p>
        </w:tc>
      </w:tr>
      <w:tr w14:paraId="6243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exact"/>
        </w:trPr>
        <w:tc>
          <w:tcPr>
            <w:tcW w:w="1145" w:type="dxa"/>
            <w:tcMar>
              <w:top w:w="150" w:type="dxa"/>
              <w:left w:w="0" w:type="dxa"/>
              <w:bottom w:w="150" w:type="dxa"/>
              <w:right w:w="240" w:type="dxa"/>
            </w:tcMar>
            <w:vAlign w:val="center"/>
          </w:tcPr>
          <w:p w14:paraId="712E95A5">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1</w:t>
            </w:r>
          </w:p>
        </w:tc>
        <w:tc>
          <w:tcPr>
            <w:tcW w:w="1838" w:type="dxa"/>
            <w:tcMar>
              <w:top w:w="150" w:type="dxa"/>
              <w:left w:w="240" w:type="dxa"/>
              <w:bottom w:w="150" w:type="dxa"/>
              <w:right w:w="240" w:type="dxa"/>
            </w:tcMar>
            <w:vAlign w:val="center"/>
          </w:tcPr>
          <w:p w14:paraId="2971DD50">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铣刨机</w:t>
            </w:r>
          </w:p>
        </w:tc>
        <w:tc>
          <w:tcPr>
            <w:tcW w:w="979" w:type="dxa"/>
            <w:tcMar>
              <w:top w:w="150" w:type="dxa"/>
              <w:left w:w="240" w:type="dxa"/>
              <w:bottom w:w="150" w:type="dxa"/>
              <w:right w:w="240" w:type="dxa"/>
            </w:tcMar>
            <w:vAlign w:val="center"/>
          </w:tcPr>
          <w:p w14:paraId="2674A8BF">
            <w:pPr>
              <w:widowControl/>
              <w:spacing w:line="300" w:lineRule="auto"/>
              <w:jc w:val="center"/>
              <w:rPr>
                <w:rFonts w:ascii="Times New Roman" w:hAnsi="Times New Roman"/>
                <w:color w:val="000000"/>
                <w:sz w:val="22"/>
                <w:szCs w:val="21"/>
              </w:rPr>
            </w:pPr>
          </w:p>
        </w:tc>
        <w:tc>
          <w:tcPr>
            <w:tcW w:w="1503" w:type="dxa"/>
            <w:tcMar>
              <w:top w:w="150" w:type="dxa"/>
              <w:left w:w="240" w:type="dxa"/>
              <w:bottom w:w="150" w:type="dxa"/>
              <w:right w:w="240" w:type="dxa"/>
            </w:tcMar>
            <w:vAlign w:val="center"/>
          </w:tcPr>
          <w:p w14:paraId="0A38FF2F">
            <w:pPr>
              <w:widowControl/>
              <w:spacing w:line="300" w:lineRule="auto"/>
              <w:jc w:val="center"/>
              <w:rPr>
                <w:rFonts w:ascii="Times New Roman" w:hAnsi="Times New Roman"/>
                <w:color w:val="000000"/>
                <w:sz w:val="22"/>
                <w:szCs w:val="21"/>
              </w:rPr>
            </w:pPr>
          </w:p>
        </w:tc>
        <w:tc>
          <w:tcPr>
            <w:tcW w:w="2286" w:type="dxa"/>
            <w:tcMar>
              <w:top w:w="150" w:type="dxa"/>
              <w:left w:w="240" w:type="dxa"/>
              <w:bottom w:w="150" w:type="dxa"/>
              <w:right w:w="240" w:type="dxa"/>
            </w:tcMar>
            <w:vAlign w:val="center"/>
          </w:tcPr>
          <w:p w14:paraId="14601577">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旧路铣刨</w:t>
            </w:r>
          </w:p>
        </w:tc>
        <w:tc>
          <w:tcPr>
            <w:tcW w:w="1787" w:type="dxa"/>
            <w:tcMar>
              <w:top w:w="150" w:type="dxa"/>
              <w:left w:w="240" w:type="dxa"/>
              <w:bottom w:w="150" w:type="dxa"/>
              <w:right w:w="0" w:type="dxa"/>
            </w:tcMar>
            <w:vAlign w:val="center"/>
          </w:tcPr>
          <w:p w14:paraId="58BFDA37">
            <w:pPr>
              <w:widowControl/>
              <w:spacing w:line="300" w:lineRule="auto"/>
              <w:jc w:val="center"/>
              <w:rPr>
                <w:rFonts w:ascii="Times New Roman" w:hAnsi="Times New Roman"/>
                <w:color w:val="000000"/>
                <w:sz w:val="22"/>
                <w:szCs w:val="21"/>
              </w:rPr>
            </w:pPr>
          </w:p>
        </w:tc>
      </w:tr>
      <w:tr w14:paraId="7EF4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exact"/>
        </w:trPr>
        <w:tc>
          <w:tcPr>
            <w:tcW w:w="1145" w:type="dxa"/>
            <w:tcMar>
              <w:top w:w="150" w:type="dxa"/>
              <w:left w:w="0" w:type="dxa"/>
              <w:bottom w:w="150" w:type="dxa"/>
              <w:right w:w="240" w:type="dxa"/>
            </w:tcMar>
            <w:vAlign w:val="center"/>
          </w:tcPr>
          <w:p w14:paraId="77B12533">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2</w:t>
            </w:r>
          </w:p>
        </w:tc>
        <w:tc>
          <w:tcPr>
            <w:tcW w:w="1838" w:type="dxa"/>
            <w:tcMar>
              <w:top w:w="150" w:type="dxa"/>
              <w:left w:w="240" w:type="dxa"/>
              <w:bottom w:w="150" w:type="dxa"/>
              <w:right w:w="240" w:type="dxa"/>
            </w:tcMar>
            <w:vAlign w:val="center"/>
          </w:tcPr>
          <w:p w14:paraId="6CE7260F">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沥青摊铺机</w:t>
            </w:r>
          </w:p>
        </w:tc>
        <w:tc>
          <w:tcPr>
            <w:tcW w:w="979" w:type="dxa"/>
            <w:tcMar>
              <w:top w:w="150" w:type="dxa"/>
              <w:left w:w="240" w:type="dxa"/>
              <w:bottom w:w="150" w:type="dxa"/>
              <w:right w:w="240" w:type="dxa"/>
            </w:tcMar>
            <w:vAlign w:val="center"/>
          </w:tcPr>
          <w:p w14:paraId="35B1371A">
            <w:pPr>
              <w:widowControl/>
              <w:spacing w:line="300" w:lineRule="auto"/>
              <w:jc w:val="center"/>
              <w:rPr>
                <w:rFonts w:ascii="Times New Roman" w:hAnsi="Times New Roman"/>
                <w:color w:val="000000"/>
                <w:sz w:val="22"/>
                <w:szCs w:val="21"/>
              </w:rPr>
            </w:pPr>
          </w:p>
        </w:tc>
        <w:tc>
          <w:tcPr>
            <w:tcW w:w="1503" w:type="dxa"/>
            <w:tcMar>
              <w:top w:w="150" w:type="dxa"/>
              <w:left w:w="240" w:type="dxa"/>
              <w:bottom w:w="150" w:type="dxa"/>
              <w:right w:w="240" w:type="dxa"/>
            </w:tcMar>
            <w:vAlign w:val="center"/>
          </w:tcPr>
          <w:p w14:paraId="54B4EFAF">
            <w:pPr>
              <w:widowControl/>
              <w:spacing w:line="300" w:lineRule="auto"/>
              <w:jc w:val="center"/>
              <w:rPr>
                <w:rFonts w:ascii="Times New Roman" w:hAnsi="Times New Roman"/>
                <w:color w:val="000000"/>
                <w:sz w:val="22"/>
                <w:szCs w:val="21"/>
              </w:rPr>
            </w:pPr>
          </w:p>
        </w:tc>
        <w:tc>
          <w:tcPr>
            <w:tcW w:w="2286" w:type="dxa"/>
            <w:tcMar>
              <w:top w:w="150" w:type="dxa"/>
              <w:left w:w="240" w:type="dxa"/>
              <w:bottom w:w="150" w:type="dxa"/>
              <w:right w:w="240" w:type="dxa"/>
            </w:tcMar>
            <w:vAlign w:val="center"/>
          </w:tcPr>
          <w:p w14:paraId="742A7633">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沥青面层摊铺</w:t>
            </w:r>
          </w:p>
        </w:tc>
        <w:tc>
          <w:tcPr>
            <w:tcW w:w="1787" w:type="dxa"/>
            <w:tcMar>
              <w:top w:w="150" w:type="dxa"/>
              <w:left w:w="240" w:type="dxa"/>
              <w:bottom w:w="150" w:type="dxa"/>
              <w:right w:w="0" w:type="dxa"/>
            </w:tcMar>
            <w:vAlign w:val="center"/>
          </w:tcPr>
          <w:p w14:paraId="1304D700">
            <w:pPr>
              <w:widowControl/>
              <w:spacing w:line="300" w:lineRule="auto"/>
              <w:jc w:val="center"/>
              <w:rPr>
                <w:rFonts w:ascii="Times New Roman" w:hAnsi="Times New Roman"/>
                <w:color w:val="000000"/>
                <w:sz w:val="22"/>
                <w:szCs w:val="21"/>
              </w:rPr>
            </w:pPr>
          </w:p>
        </w:tc>
      </w:tr>
      <w:tr w14:paraId="3884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exact"/>
        </w:trPr>
        <w:tc>
          <w:tcPr>
            <w:tcW w:w="1145" w:type="dxa"/>
            <w:tcMar>
              <w:top w:w="150" w:type="dxa"/>
              <w:left w:w="0" w:type="dxa"/>
              <w:bottom w:w="150" w:type="dxa"/>
              <w:right w:w="240" w:type="dxa"/>
            </w:tcMar>
            <w:vAlign w:val="center"/>
          </w:tcPr>
          <w:p w14:paraId="54D095CF">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3</w:t>
            </w:r>
          </w:p>
        </w:tc>
        <w:tc>
          <w:tcPr>
            <w:tcW w:w="1838" w:type="dxa"/>
            <w:tcMar>
              <w:top w:w="150" w:type="dxa"/>
              <w:left w:w="240" w:type="dxa"/>
              <w:bottom w:w="150" w:type="dxa"/>
              <w:right w:w="240" w:type="dxa"/>
            </w:tcMar>
            <w:vAlign w:val="center"/>
          </w:tcPr>
          <w:p w14:paraId="2A086366">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双钢轮压路机</w:t>
            </w:r>
          </w:p>
        </w:tc>
        <w:tc>
          <w:tcPr>
            <w:tcW w:w="979" w:type="dxa"/>
            <w:tcMar>
              <w:top w:w="150" w:type="dxa"/>
              <w:left w:w="240" w:type="dxa"/>
              <w:bottom w:w="150" w:type="dxa"/>
              <w:right w:w="240" w:type="dxa"/>
            </w:tcMar>
            <w:vAlign w:val="center"/>
          </w:tcPr>
          <w:p w14:paraId="34CE657B">
            <w:pPr>
              <w:widowControl/>
              <w:spacing w:line="300" w:lineRule="auto"/>
              <w:jc w:val="center"/>
              <w:rPr>
                <w:rFonts w:ascii="Times New Roman" w:hAnsi="Times New Roman"/>
                <w:color w:val="000000"/>
                <w:sz w:val="22"/>
                <w:szCs w:val="21"/>
              </w:rPr>
            </w:pPr>
          </w:p>
        </w:tc>
        <w:tc>
          <w:tcPr>
            <w:tcW w:w="1503" w:type="dxa"/>
            <w:tcMar>
              <w:top w:w="150" w:type="dxa"/>
              <w:left w:w="240" w:type="dxa"/>
              <w:bottom w:w="150" w:type="dxa"/>
              <w:right w:w="240" w:type="dxa"/>
            </w:tcMar>
            <w:vAlign w:val="center"/>
          </w:tcPr>
          <w:p w14:paraId="2BC5E431">
            <w:pPr>
              <w:widowControl/>
              <w:spacing w:line="300" w:lineRule="auto"/>
              <w:jc w:val="center"/>
              <w:rPr>
                <w:rFonts w:ascii="Times New Roman" w:hAnsi="Times New Roman"/>
                <w:color w:val="000000"/>
                <w:sz w:val="22"/>
                <w:szCs w:val="21"/>
              </w:rPr>
            </w:pPr>
          </w:p>
        </w:tc>
        <w:tc>
          <w:tcPr>
            <w:tcW w:w="2286" w:type="dxa"/>
            <w:tcMar>
              <w:top w:w="150" w:type="dxa"/>
              <w:left w:w="240" w:type="dxa"/>
              <w:bottom w:w="150" w:type="dxa"/>
              <w:right w:w="240" w:type="dxa"/>
            </w:tcMar>
            <w:vAlign w:val="center"/>
          </w:tcPr>
          <w:p w14:paraId="7BC0E645">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沥青层压实</w:t>
            </w:r>
          </w:p>
        </w:tc>
        <w:tc>
          <w:tcPr>
            <w:tcW w:w="1787" w:type="dxa"/>
            <w:tcMar>
              <w:top w:w="150" w:type="dxa"/>
              <w:left w:w="240" w:type="dxa"/>
              <w:bottom w:w="150" w:type="dxa"/>
              <w:right w:w="0" w:type="dxa"/>
            </w:tcMar>
            <w:vAlign w:val="center"/>
          </w:tcPr>
          <w:p w14:paraId="40555E9C">
            <w:pPr>
              <w:widowControl/>
              <w:spacing w:line="300" w:lineRule="auto"/>
              <w:jc w:val="center"/>
              <w:rPr>
                <w:rFonts w:ascii="Times New Roman" w:hAnsi="Times New Roman"/>
                <w:color w:val="000000"/>
                <w:sz w:val="22"/>
                <w:szCs w:val="21"/>
              </w:rPr>
            </w:pPr>
          </w:p>
        </w:tc>
      </w:tr>
      <w:tr w14:paraId="5910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exact"/>
        </w:trPr>
        <w:tc>
          <w:tcPr>
            <w:tcW w:w="1145" w:type="dxa"/>
            <w:tcMar>
              <w:top w:w="150" w:type="dxa"/>
              <w:left w:w="0" w:type="dxa"/>
              <w:bottom w:w="150" w:type="dxa"/>
              <w:right w:w="240" w:type="dxa"/>
            </w:tcMar>
            <w:vAlign w:val="center"/>
          </w:tcPr>
          <w:p w14:paraId="1402E28A">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4</w:t>
            </w:r>
          </w:p>
        </w:tc>
        <w:tc>
          <w:tcPr>
            <w:tcW w:w="1838" w:type="dxa"/>
            <w:tcMar>
              <w:top w:w="150" w:type="dxa"/>
              <w:left w:w="240" w:type="dxa"/>
              <w:bottom w:w="150" w:type="dxa"/>
              <w:right w:w="240" w:type="dxa"/>
            </w:tcMar>
            <w:vAlign w:val="center"/>
          </w:tcPr>
          <w:p w14:paraId="6E7B50BF">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振动压路机</w:t>
            </w:r>
          </w:p>
        </w:tc>
        <w:tc>
          <w:tcPr>
            <w:tcW w:w="979" w:type="dxa"/>
            <w:tcMar>
              <w:top w:w="150" w:type="dxa"/>
              <w:left w:w="240" w:type="dxa"/>
              <w:bottom w:w="150" w:type="dxa"/>
              <w:right w:w="240" w:type="dxa"/>
            </w:tcMar>
            <w:vAlign w:val="center"/>
          </w:tcPr>
          <w:p w14:paraId="28FDADB0">
            <w:pPr>
              <w:widowControl/>
              <w:spacing w:line="300" w:lineRule="auto"/>
              <w:jc w:val="center"/>
              <w:rPr>
                <w:rFonts w:ascii="Times New Roman" w:hAnsi="Times New Roman"/>
                <w:color w:val="000000"/>
                <w:sz w:val="22"/>
                <w:szCs w:val="21"/>
              </w:rPr>
            </w:pPr>
          </w:p>
        </w:tc>
        <w:tc>
          <w:tcPr>
            <w:tcW w:w="1503" w:type="dxa"/>
            <w:tcMar>
              <w:top w:w="150" w:type="dxa"/>
              <w:left w:w="240" w:type="dxa"/>
              <w:bottom w:w="150" w:type="dxa"/>
              <w:right w:w="240" w:type="dxa"/>
            </w:tcMar>
            <w:vAlign w:val="center"/>
          </w:tcPr>
          <w:p w14:paraId="13F41B1C">
            <w:pPr>
              <w:widowControl/>
              <w:spacing w:line="300" w:lineRule="auto"/>
              <w:jc w:val="center"/>
              <w:rPr>
                <w:rFonts w:ascii="Times New Roman" w:hAnsi="Times New Roman"/>
                <w:color w:val="000000"/>
                <w:sz w:val="22"/>
                <w:szCs w:val="21"/>
              </w:rPr>
            </w:pPr>
          </w:p>
        </w:tc>
        <w:tc>
          <w:tcPr>
            <w:tcW w:w="2286" w:type="dxa"/>
            <w:tcMar>
              <w:top w:w="150" w:type="dxa"/>
              <w:left w:w="240" w:type="dxa"/>
              <w:bottom w:w="150" w:type="dxa"/>
              <w:right w:w="240" w:type="dxa"/>
            </w:tcMar>
            <w:vAlign w:val="center"/>
          </w:tcPr>
          <w:p w14:paraId="0E8717FF">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水稳层压实</w:t>
            </w:r>
          </w:p>
        </w:tc>
        <w:tc>
          <w:tcPr>
            <w:tcW w:w="1787" w:type="dxa"/>
            <w:tcMar>
              <w:top w:w="150" w:type="dxa"/>
              <w:left w:w="240" w:type="dxa"/>
              <w:bottom w:w="150" w:type="dxa"/>
              <w:right w:w="0" w:type="dxa"/>
            </w:tcMar>
            <w:vAlign w:val="center"/>
          </w:tcPr>
          <w:p w14:paraId="5AB1911F">
            <w:pPr>
              <w:widowControl/>
              <w:spacing w:line="300" w:lineRule="auto"/>
              <w:jc w:val="center"/>
              <w:rPr>
                <w:rFonts w:ascii="Times New Roman" w:hAnsi="Times New Roman"/>
                <w:color w:val="000000"/>
                <w:sz w:val="22"/>
                <w:szCs w:val="21"/>
              </w:rPr>
            </w:pPr>
          </w:p>
        </w:tc>
      </w:tr>
      <w:tr w14:paraId="28D9F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exact"/>
        </w:trPr>
        <w:tc>
          <w:tcPr>
            <w:tcW w:w="1145" w:type="dxa"/>
            <w:tcMar>
              <w:top w:w="150" w:type="dxa"/>
              <w:left w:w="0" w:type="dxa"/>
              <w:bottom w:w="150" w:type="dxa"/>
              <w:right w:w="240" w:type="dxa"/>
            </w:tcMar>
            <w:vAlign w:val="center"/>
          </w:tcPr>
          <w:p w14:paraId="7F24CB5A">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5</w:t>
            </w:r>
          </w:p>
        </w:tc>
        <w:tc>
          <w:tcPr>
            <w:tcW w:w="1838" w:type="dxa"/>
            <w:tcMar>
              <w:top w:w="150" w:type="dxa"/>
              <w:left w:w="240" w:type="dxa"/>
              <w:bottom w:w="150" w:type="dxa"/>
              <w:right w:w="240" w:type="dxa"/>
            </w:tcMar>
            <w:vAlign w:val="center"/>
          </w:tcPr>
          <w:p w14:paraId="512C35EC">
            <w:pPr>
              <w:widowControl/>
              <w:spacing w:line="300" w:lineRule="auto"/>
              <w:jc w:val="center"/>
              <w:rPr>
                <w:rFonts w:ascii="Times New Roman" w:hAnsi="Times New Roman"/>
                <w:color w:val="000000"/>
                <w:sz w:val="22"/>
                <w:szCs w:val="21"/>
              </w:rPr>
            </w:pPr>
            <w:r>
              <w:rPr>
                <w:rFonts w:ascii="Times New Roman" w:hAnsi="Times New Roman"/>
                <w:color w:val="000000"/>
                <w:sz w:val="22"/>
                <w:szCs w:val="21"/>
              </w:rPr>
              <w:t>自卸汽车</w:t>
            </w:r>
          </w:p>
        </w:tc>
        <w:tc>
          <w:tcPr>
            <w:tcW w:w="979" w:type="dxa"/>
            <w:tcMar>
              <w:top w:w="150" w:type="dxa"/>
              <w:left w:w="240" w:type="dxa"/>
              <w:bottom w:w="150" w:type="dxa"/>
              <w:right w:w="240" w:type="dxa"/>
            </w:tcMar>
            <w:vAlign w:val="center"/>
          </w:tcPr>
          <w:p w14:paraId="33B0C089">
            <w:pPr>
              <w:widowControl/>
              <w:spacing w:line="300" w:lineRule="auto"/>
              <w:jc w:val="center"/>
              <w:rPr>
                <w:rFonts w:ascii="Times New Roman" w:hAnsi="Times New Roman"/>
                <w:color w:val="000000"/>
                <w:sz w:val="22"/>
                <w:szCs w:val="21"/>
              </w:rPr>
            </w:pPr>
          </w:p>
        </w:tc>
        <w:tc>
          <w:tcPr>
            <w:tcW w:w="1503" w:type="dxa"/>
            <w:tcMar>
              <w:top w:w="150" w:type="dxa"/>
              <w:left w:w="240" w:type="dxa"/>
              <w:bottom w:w="150" w:type="dxa"/>
              <w:right w:w="240" w:type="dxa"/>
            </w:tcMar>
            <w:vAlign w:val="center"/>
          </w:tcPr>
          <w:p w14:paraId="4ACFBE8F">
            <w:pPr>
              <w:widowControl/>
              <w:spacing w:line="300" w:lineRule="auto"/>
              <w:jc w:val="center"/>
              <w:rPr>
                <w:rFonts w:ascii="Times New Roman" w:hAnsi="Times New Roman"/>
                <w:color w:val="000000"/>
                <w:sz w:val="22"/>
                <w:szCs w:val="21"/>
              </w:rPr>
            </w:pPr>
          </w:p>
        </w:tc>
        <w:tc>
          <w:tcPr>
            <w:tcW w:w="2286" w:type="dxa"/>
            <w:tcMar>
              <w:top w:w="150" w:type="dxa"/>
              <w:left w:w="240" w:type="dxa"/>
              <w:bottom w:w="150" w:type="dxa"/>
              <w:right w:w="240" w:type="dxa"/>
            </w:tcMar>
            <w:vAlign w:val="center"/>
          </w:tcPr>
          <w:p w14:paraId="237FB0BE">
            <w:pPr>
              <w:widowControl/>
              <w:spacing w:line="300" w:lineRule="auto"/>
              <w:jc w:val="center"/>
              <w:rPr>
                <w:rFonts w:ascii="Times New Roman" w:hAnsi="Times New Roman"/>
                <w:color w:val="000000"/>
                <w:sz w:val="22"/>
                <w:szCs w:val="21"/>
              </w:rPr>
            </w:pPr>
            <w:r>
              <w:rPr>
                <w:rFonts w:hint="eastAsia" w:ascii="Times New Roman" w:hAnsi="Times New Roman"/>
                <w:color w:val="000000"/>
                <w:sz w:val="22"/>
                <w:szCs w:val="21"/>
              </w:rPr>
              <w:t>沥青</w:t>
            </w:r>
            <w:r>
              <w:rPr>
                <w:rFonts w:ascii="Times New Roman" w:hAnsi="Times New Roman"/>
                <w:color w:val="000000"/>
                <w:sz w:val="22"/>
                <w:szCs w:val="21"/>
              </w:rPr>
              <w:t>材料运输</w:t>
            </w:r>
          </w:p>
        </w:tc>
        <w:tc>
          <w:tcPr>
            <w:tcW w:w="1787" w:type="dxa"/>
            <w:tcMar>
              <w:top w:w="150" w:type="dxa"/>
              <w:left w:w="240" w:type="dxa"/>
              <w:bottom w:w="150" w:type="dxa"/>
              <w:right w:w="0" w:type="dxa"/>
            </w:tcMar>
            <w:vAlign w:val="center"/>
          </w:tcPr>
          <w:p w14:paraId="67A9017C">
            <w:pPr>
              <w:widowControl/>
              <w:spacing w:line="300" w:lineRule="auto"/>
              <w:jc w:val="center"/>
              <w:rPr>
                <w:rFonts w:ascii="Times New Roman" w:hAnsi="Times New Roman"/>
                <w:color w:val="000000"/>
                <w:sz w:val="22"/>
                <w:szCs w:val="21"/>
              </w:rPr>
            </w:pPr>
          </w:p>
        </w:tc>
      </w:tr>
      <w:tr w14:paraId="12B5D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exact"/>
        </w:trPr>
        <w:tc>
          <w:tcPr>
            <w:tcW w:w="1145" w:type="dxa"/>
            <w:tcMar>
              <w:top w:w="150" w:type="dxa"/>
              <w:left w:w="0" w:type="dxa"/>
              <w:bottom w:w="150" w:type="dxa"/>
              <w:right w:w="240" w:type="dxa"/>
            </w:tcMar>
            <w:vAlign w:val="center"/>
          </w:tcPr>
          <w:p w14:paraId="48C5F765">
            <w:pPr>
              <w:widowControl/>
              <w:spacing w:line="300" w:lineRule="auto"/>
              <w:jc w:val="center"/>
              <w:rPr>
                <w:rFonts w:ascii="Times New Roman" w:hAnsi="Times New Roman"/>
                <w:color w:val="000000"/>
                <w:sz w:val="22"/>
                <w:szCs w:val="21"/>
              </w:rPr>
            </w:pPr>
            <w:r>
              <w:rPr>
                <w:rFonts w:hint="eastAsia" w:ascii="Times New Roman" w:hAnsi="Times New Roman"/>
                <w:color w:val="000000"/>
                <w:sz w:val="22"/>
                <w:szCs w:val="21"/>
              </w:rPr>
              <w:t>6</w:t>
            </w:r>
          </w:p>
        </w:tc>
        <w:tc>
          <w:tcPr>
            <w:tcW w:w="1838" w:type="dxa"/>
            <w:tcMar>
              <w:top w:w="150" w:type="dxa"/>
              <w:left w:w="240" w:type="dxa"/>
              <w:bottom w:w="150" w:type="dxa"/>
              <w:right w:w="240" w:type="dxa"/>
            </w:tcMar>
            <w:vAlign w:val="center"/>
          </w:tcPr>
          <w:p w14:paraId="264E8CF3">
            <w:pPr>
              <w:widowControl/>
              <w:spacing w:line="300" w:lineRule="auto"/>
              <w:jc w:val="center"/>
              <w:rPr>
                <w:rFonts w:ascii="Times New Roman" w:hAnsi="Times New Roman"/>
                <w:color w:val="000000"/>
                <w:sz w:val="22"/>
                <w:szCs w:val="21"/>
              </w:rPr>
            </w:pPr>
            <w:r>
              <w:rPr>
                <w:rFonts w:hint="eastAsia" w:ascii="Times New Roman" w:hAnsi="Times New Roman"/>
                <w:color w:val="000000"/>
                <w:sz w:val="22"/>
                <w:szCs w:val="21"/>
              </w:rPr>
              <w:t>水稳层</w:t>
            </w:r>
            <w:r>
              <w:rPr>
                <w:rFonts w:ascii="Times New Roman" w:hAnsi="Times New Roman"/>
                <w:color w:val="000000"/>
                <w:sz w:val="22"/>
                <w:szCs w:val="21"/>
              </w:rPr>
              <w:t>摊铺机</w:t>
            </w:r>
          </w:p>
        </w:tc>
        <w:tc>
          <w:tcPr>
            <w:tcW w:w="979" w:type="dxa"/>
            <w:tcMar>
              <w:top w:w="150" w:type="dxa"/>
              <w:left w:w="240" w:type="dxa"/>
              <w:bottom w:w="150" w:type="dxa"/>
              <w:right w:w="240" w:type="dxa"/>
            </w:tcMar>
            <w:vAlign w:val="center"/>
          </w:tcPr>
          <w:p w14:paraId="42F70A07">
            <w:pPr>
              <w:widowControl/>
              <w:spacing w:line="300" w:lineRule="auto"/>
              <w:jc w:val="center"/>
              <w:rPr>
                <w:rFonts w:ascii="Times New Roman" w:hAnsi="Times New Roman"/>
                <w:color w:val="000000"/>
                <w:sz w:val="22"/>
                <w:szCs w:val="21"/>
              </w:rPr>
            </w:pPr>
          </w:p>
        </w:tc>
        <w:tc>
          <w:tcPr>
            <w:tcW w:w="1503" w:type="dxa"/>
            <w:tcMar>
              <w:top w:w="150" w:type="dxa"/>
              <w:left w:w="240" w:type="dxa"/>
              <w:bottom w:w="150" w:type="dxa"/>
              <w:right w:w="240" w:type="dxa"/>
            </w:tcMar>
            <w:vAlign w:val="center"/>
          </w:tcPr>
          <w:p w14:paraId="680B6E4C">
            <w:pPr>
              <w:widowControl/>
              <w:spacing w:line="300" w:lineRule="auto"/>
              <w:jc w:val="center"/>
              <w:rPr>
                <w:rFonts w:ascii="Times New Roman" w:hAnsi="Times New Roman"/>
                <w:color w:val="000000"/>
                <w:sz w:val="22"/>
                <w:szCs w:val="21"/>
              </w:rPr>
            </w:pPr>
          </w:p>
        </w:tc>
        <w:tc>
          <w:tcPr>
            <w:tcW w:w="2286" w:type="dxa"/>
            <w:tcMar>
              <w:top w:w="150" w:type="dxa"/>
              <w:left w:w="240" w:type="dxa"/>
              <w:bottom w:w="150" w:type="dxa"/>
              <w:right w:w="240" w:type="dxa"/>
            </w:tcMar>
            <w:vAlign w:val="center"/>
          </w:tcPr>
          <w:p w14:paraId="1E756AEC">
            <w:pPr>
              <w:widowControl/>
              <w:spacing w:line="300" w:lineRule="auto"/>
              <w:jc w:val="center"/>
              <w:rPr>
                <w:rFonts w:ascii="Times New Roman" w:hAnsi="Times New Roman"/>
                <w:color w:val="000000"/>
                <w:sz w:val="22"/>
                <w:szCs w:val="21"/>
              </w:rPr>
            </w:pPr>
            <w:r>
              <w:rPr>
                <w:rFonts w:hint="eastAsia" w:ascii="Times New Roman" w:hAnsi="Times New Roman"/>
                <w:color w:val="000000"/>
                <w:sz w:val="22"/>
                <w:szCs w:val="21"/>
              </w:rPr>
              <w:t>水稳层</w:t>
            </w:r>
          </w:p>
        </w:tc>
        <w:tc>
          <w:tcPr>
            <w:tcW w:w="1787" w:type="dxa"/>
            <w:tcMar>
              <w:top w:w="150" w:type="dxa"/>
              <w:left w:w="240" w:type="dxa"/>
              <w:bottom w:w="150" w:type="dxa"/>
              <w:right w:w="0" w:type="dxa"/>
            </w:tcMar>
            <w:vAlign w:val="center"/>
          </w:tcPr>
          <w:p w14:paraId="6DEACFDF">
            <w:pPr>
              <w:widowControl/>
              <w:spacing w:line="300" w:lineRule="auto"/>
              <w:jc w:val="center"/>
              <w:rPr>
                <w:rFonts w:ascii="Times New Roman" w:hAnsi="Times New Roman"/>
                <w:color w:val="000000"/>
                <w:sz w:val="22"/>
                <w:szCs w:val="21"/>
              </w:rPr>
            </w:pPr>
          </w:p>
        </w:tc>
      </w:tr>
      <w:tr w14:paraId="579F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exact"/>
        </w:trPr>
        <w:tc>
          <w:tcPr>
            <w:tcW w:w="1145" w:type="dxa"/>
            <w:tcMar>
              <w:top w:w="150" w:type="dxa"/>
              <w:left w:w="0" w:type="dxa"/>
              <w:bottom w:w="150" w:type="dxa"/>
              <w:right w:w="240" w:type="dxa"/>
            </w:tcMar>
            <w:vAlign w:val="center"/>
          </w:tcPr>
          <w:p w14:paraId="27EA64B5">
            <w:pPr>
              <w:widowControl/>
              <w:spacing w:line="300" w:lineRule="auto"/>
              <w:jc w:val="center"/>
              <w:rPr>
                <w:rFonts w:ascii="Times New Roman" w:hAnsi="Times New Roman" w:eastAsia="等线"/>
                <w:color w:val="000000"/>
                <w:sz w:val="22"/>
                <w:szCs w:val="21"/>
              </w:rPr>
            </w:pPr>
            <w:r>
              <w:rPr>
                <w:rFonts w:hint="eastAsia" w:ascii="Times New Roman" w:hAnsi="Times New Roman"/>
                <w:color w:val="000000"/>
                <w:sz w:val="22"/>
                <w:szCs w:val="21"/>
              </w:rPr>
              <w:t>7</w:t>
            </w:r>
          </w:p>
        </w:tc>
        <w:tc>
          <w:tcPr>
            <w:tcW w:w="1838" w:type="dxa"/>
            <w:tcMar>
              <w:top w:w="150" w:type="dxa"/>
              <w:left w:w="240" w:type="dxa"/>
              <w:bottom w:w="150" w:type="dxa"/>
              <w:right w:w="240" w:type="dxa"/>
            </w:tcMar>
            <w:vAlign w:val="center"/>
          </w:tcPr>
          <w:p w14:paraId="2EE3FDFE">
            <w:pPr>
              <w:widowControl/>
              <w:spacing w:line="300" w:lineRule="auto"/>
              <w:jc w:val="center"/>
              <w:rPr>
                <w:rFonts w:ascii="Times New Roman" w:hAnsi="Times New Roman" w:eastAsia="等线"/>
                <w:color w:val="000000"/>
                <w:sz w:val="22"/>
                <w:szCs w:val="21"/>
              </w:rPr>
            </w:pPr>
            <w:r>
              <w:rPr>
                <w:rFonts w:hint="eastAsia" w:ascii="Times New Roman" w:hAnsi="Times New Roman"/>
                <w:color w:val="000000"/>
                <w:sz w:val="22"/>
                <w:szCs w:val="21"/>
              </w:rPr>
              <w:t>碎石</w:t>
            </w:r>
            <w:r>
              <w:rPr>
                <w:rFonts w:hint="eastAsia" w:ascii="Times New Roman" w:hAnsi="Times New Roman" w:eastAsia="等线"/>
                <w:color w:val="000000"/>
                <w:sz w:val="22"/>
                <w:szCs w:val="21"/>
              </w:rPr>
              <w:t>封层车</w:t>
            </w:r>
          </w:p>
        </w:tc>
        <w:tc>
          <w:tcPr>
            <w:tcW w:w="979" w:type="dxa"/>
            <w:tcMar>
              <w:top w:w="150" w:type="dxa"/>
              <w:left w:w="240" w:type="dxa"/>
              <w:bottom w:w="150" w:type="dxa"/>
              <w:right w:w="240" w:type="dxa"/>
            </w:tcMar>
            <w:vAlign w:val="center"/>
          </w:tcPr>
          <w:p w14:paraId="63372D7D">
            <w:pPr>
              <w:widowControl/>
              <w:spacing w:line="300" w:lineRule="auto"/>
              <w:jc w:val="center"/>
              <w:rPr>
                <w:rFonts w:ascii="Times New Roman" w:hAnsi="Times New Roman"/>
                <w:color w:val="000000"/>
                <w:sz w:val="22"/>
                <w:szCs w:val="21"/>
              </w:rPr>
            </w:pPr>
          </w:p>
        </w:tc>
        <w:tc>
          <w:tcPr>
            <w:tcW w:w="1503" w:type="dxa"/>
            <w:tcMar>
              <w:top w:w="150" w:type="dxa"/>
              <w:left w:w="240" w:type="dxa"/>
              <w:bottom w:w="150" w:type="dxa"/>
              <w:right w:w="240" w:type="dxa"/>
            </w:tcMar>
            <w:vAlign w:val="center"/>
          </w:tcPr>
          <w:p w14:paraId="6DE7CA39">
            <w:pPr>
              <w:widowControl/>
              <w:spacing w:line="300" w:lineRule="auto"/>
              <w:jc w:val="center"/>
              <w:rPr>
                <w:rFonts w:ascii="Times New Roman" w:hAnsi="Times New Roman"/>
                <w:color w:val="000000"/>
                <w:sz w:val="22"/>
                <w:szCs w:val="21"/>
              </w:rPr>
            </w:pPr>
          </w:p>
        </w:tc>
        <w:tc>
          <w:tcPr>
            <w:tcW w:w="2286" w:type="dxa"/>
            <w:tcMar>
              <w:top w:w="150" w:type="dxa"/>
              <w:left w:w="240" w:type="dxa"/>
              <w:bottom w:w="150" w:type="dxa"/>
              <w:right w:w="240" w:type="dxa"/>
            </w:tcMar>
            <w:vAlign w:val="center"/>
          </w:tcPr>
          <w:p w14:paraId="0CDA4FA3">
            <w:pPr>
              <w:widowControl/>
              <w:spacing w:line="300" w:lineRule="auto"/>
              <w:jc w:val="center"/>
              <w:rPr>
                <w:rFonts w:ascii="Times New Roman" w:hAnsi="Times New Roman" w:eastAsia="等线"/>
                <w:color w:val="000000"/>
                <w:sz w:val="22"/>
                <w:szCs w:val="21"/>
              </w:rPr>
            </w:pPr>
            <w:r>
              <w:rPr>
                <w:rFonts w:hint="eastAsia" w:ascii="Times New Roman" w:hAnsi="Times New Roman"/>
                <w:color w:val="000000"/>
                <w:sz w:val="22"/>
                <w:szCs w:val="21"/>
              </w:rPr>
              <w:t>封层</w:t>
            </w:r>
          </w:p>
        </w:tc>
        <w:tc>
          <w:tcPr>
            <w:tcW w:w="1787" w:type="dxa"/>
            <w:tcMar>
              <w:top w:w="150" w:type="dxa"/>
              <w:left w:w="240" w:type="dxa"/>
              <w:bottom w:w="150" w:type="dxa"/>
              <w:right w:w="0" w:type="dxa"/>
            </w:tcMar>
            <w:vAlign w:val="center"/>
          </w:tcPr>
          <w:p w14:paraId="3504C79A">
            <w:pPr>
              <w:widowControl/>
              <w:spacing w:line="300" w:lineRule="auto"/>
              <w:jc w:val="center"/>
              <w:rPr>
                <w:rFonts w:ascii="Times New Roman" w:hAnsi="Times New Roman"/>
                <w:color w:val="000000"/>
                <w:sz w:val="22"/>
                <w:szCs w:val="21"/>
              </w:rPr>
            </w:pPr>
          </w:p>
        </w:tc>
      </w:tr>
      <w:tr w14:paraId="64E5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exact"/>
        </w:trPr>
        <w:tc>
          <w:tcPr>
            <w:tcW w:w="1145" w:type="dxa"/>
            <w:tcMar>
              <w:top w:w="150" w:type="dxa"/>
              <w:left w:w="0" w:type="dxa"/>
              <w:bottom w:w="150" w:type="dxa"/>
              <w:right w:w="240" w:type="dxa"/>
            </w:tcMar>
            <w:vAlign w:val="center"/>
          </w:tcPr>
          <w:p w14:paraId="60F24CE5">
            <w:pPr>
              <w:widowControl/>
              <w:spacing w:line="300" w:lineRule="auto"/>
              <w:jc w:val="center"/>
              <w:rPr>
                <w:rFonts w:ascii="Times New Roman" w:hAnsi="Times New Roman" w:eastAsia="等线"/>
                <w:color w:val="000000"/>
                <w:sz w:val="22"/>
                <w:szCs w:val="21"/>
              </w:rPr>
            </w:pPr>
            <w:r>
              <w:rPr>
                <w:rFonts w:hint="eastAsia" w:ascii="Times New Roman" w:hAnsi="Times New Roman"/>
                <w:color w:val="000000"/>
                <w:sz w:val="22"/>
                <w:szCs w:val="21"/>
              </w:rPr>
              <w:t>8</w:t>
            </w:r>
          </w:p>
        </w:tc>
        <w:tc>
          <w:tcPr>
            <w:tcW w:w="1838" w:type="dxa"/>
            <w:tcMar>
              <w:top w:w="150" w:type="dxa"/>
              <w:left w:w="240" w:type="dxa"/>
              <w:bottom w:w="150" w:type="dxa"/>
              <w:right w:w="240" w:type="dxa"/>
            </w:tcMar>
            <w:vAlign w:val="center"/>
          </w:tcPr>
          <w:p w14:paraId="75E7721A">
            <w:pPr>
              <w:widowControl/>
              <w:spacing w:line="300" w:lineRule="auto"/>
              <w:jc w:val="center"/>
              <w:rPr>
                <w:rFonts w:ascii="Times New Roman" w:hAnsi="Times New Roman"/>
                <w:color w:val="000000"/>
                <w:sz w:val="22"/>
                <w:szCs w:val="21"/>
              </w:rPr>
            </w:pPr>
            <w:r>
              <w:rPr>
                <w:rFonts w:hint="eastAsia" w:ascii="Times New Roman" w:hAnsi="Times New Roman" w:eastAsia="等线"/>
                <w:color w:val="000000"/>
                <w:sz w:val="22"/>
                <w:szCs w:val="21"/>
              </w:rPr>
              <w:t>洒布</w:t>
            </w:r>
            <w:r>
              <w:rPr>
                <w:rFonts w:hint="eastAsia" w:ascii="Times New Roman" w:hAnsi="Times New Roman"/>
                <w:color w:val="000000"/>
                <w:sz w:val="22"/>
                <w:szCs w:val="21"/>
              </w:rPr>
              <w:t>车</w:t>
            </w:r>
          </w:p>
        </w:tc>
        <w:tc>
          <w:tcPr>
            <w:tcW w:w="979" w:type="dxa"/>
            <w:tcMar>
              <w:top w:w="150" w:type="dxa"/>
              <w:left w:w="240" w:type="dxa"/>
              <w:bottom w:w="150" w:type="dxa"/>
              <w:right w:w="240" w:type="dxa"/>
            </w:tcMar>
            <w:vAlign w:val="center"/>
          </w:tcPr>
          <w:p w14:paraId="196B663F">
            <w:pPr>
              <w:widowControl/>
              <w:spacing w:line="300" w:lineRule="auto"/>
              <w:jc w:val="center"/>
              <w:rPr>
                <w:rFonts w:ascii="Times New Roman" w:hAnsi="Times New Roman"/>
                <w:color w:val="000000"/>
                <w:sz w:val="22"/>
                <w:szCs w:val="21"/>
              </w:rPr>
            </w:pPr>
          </w:p>
        </w:tc>
        <w:tc>
          <w:tcPr>
            <w:tcW w:w="1503" w:type="dxa"/>
            <w:tcMar>
              <w:top w:w="150" w:type="dxa"/>
              <w:left w:w="240" w:type="dxa"/>
              <w:bottom w:w="150" w:type="dxa"/>
              <w:right w:w="240" w:type="dxa"/>
            </w:tcMar>
            <w:vAlign w:val="center"/>
          </w:tcPr>
          <w:p w14:paraId="7A0FDCB6">
            <w:pPr>
              <w:widowControl/>
              <w:spacing w:line="300" w:lineRule="auto"/>
              <w:jc w:val="center"/>
              <w:rPr>
                <w:rFonts w:ascii="Times New Roman" w:hAnsi="Times New Roman"/>
                <w:color w:val="000000"/>
                <w:sz w:val="22"/>
                <w:szCs w:val="21"/>
              </w:rPr>
            </w:pPr>
          </w:p>
        </w:tc>
        <w:tc>
          <w:tcPr>
            <w:tcW w:w="2286" w:type="dxa"/>
            <w:tcMar>
              <w:top w:w="150" w:type="dxa"/>
              <w:left w:w="240" w:type="dxa"/>
              <w:bottom w:w="150" w:type="dxa"/>
              <w:right w:w="240" w:type="dxa"/>
            </w:tcMar>
            <w:vAlign w:val="center"/>
          </w:tcPr>
          <w:p w14:paraId="3519245F">
            <w:pPr>
              <w:widowControl/>
              <w:spacing w:line="300" w:lineRule="auto"/>
              <w:jc w:val="center"/>
              <w:rPr>
                <w:rFonts w:ascii="Times New Roman" w:hAnsi="Times New Roman" w:eastAsia="等线"/>
                <w:color w:val="000000"/>
                <w:sz w:val="22"/>
                <w:szCs w:val="21"/>
              </w:rPr>
            </w:pPr>
            <w:r>
              <w:rPr>
                <w:rFonts w:hint="eastAsia" w:ascii="Times New Roman" w:hAnsi="Times New Roman"/>
                <w:color w:val="000000"/>
                <w:sz w:val="22"/>
                <w:szCs w:val="21"/>
              </w:rPr>
              <w:t>渗透层及粘结层</w:t>
            </w:r>
          </w:p>
        </w:tc>
        <w:tc>
          <w:tcPr>
            <w:tcW w:w="1787" w:type="dxa"/>
            <w:tcMar>
              <w:top w:w="150" w:type="dxa"/>
              <w:left w:w="240" w:type="dxa"/>
              <w:bottom w:w="150" w:type="dxa"/>
              <w:right w:w="0" w:type="dxa"/>
            </w:tcMar>
            <w:vAlign w:val="center"/>
          </w:tcPr>
          <w:p w14:paraId="66FF51BD">
            <w:pPr>
              <w:widowControl/>
              <w:spacing w:line="300" w:lineRule="auto"/>
              <w:jc w:val="center"/>
              <w:rPr>
                <w:rFonts w:ascii="Times New Roman" w:hAnsi="Times New Roman"/>
                <w:color w:val="000000"/>
                <w:sz w:val="22"/>
                <w:szCs w:val="21"/>
              </w:rPr>
            </w:pPr>
          </w:p>
        </w:tc>
      </w:tr>
      <w:tr w14:paraId="696E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56" w:hRule="exact"/>
        </w:trPr>
        <w:tc>
          <w:tcPr>
            <w:tcW w:w="1145" w:type="dxa"/>
            <w:tcMar>
              <w:top w:w="150" w:type="dxa"/>
              <w:left w:w="0" w:type="dxa"/>
              <w:bottom w:w="150" w:type="dxa"/>
              <w:right w:w="240" w:type="dxa"/>
            </w:tcMar>
            <w:vAlign w:val="center"/>
          </w:tcPr>
          <w:p w14:paraId="24757B27">
            <w:pPr>
              <w:widowControl/>
              <w:spacing w:line="300" w:lineRule="auto"/>
              <w:jc w:val="center"/>
              <w:rPr>
                <w:rFonts w:ascii="Times New Roman" w:hAnsi="Times New Roman"/>
                <w:color w:val="000000"/>
                <w:sz w:val="22"/>
                <w:szCs w:val="21"/>
              </w:rPr>
            </w:pPr>
          </w:p>
        </w:tc>
        <w:tc>
          <w:tcPr>
            <w:tcW w:w="1838" w:type="dxa"/>
            <w:tcMar>
              <w:top w:w="150" w:type="dxa"/>
              <w:left w:w="240" w:type="dxa"/>
              <w:bottom w:w="150" w:type="dxa"/>
              <w:right w:w="240" w:type="dxa"/>
            </w:tcMar>
            <w:vAlign w:val="center"/>
          </w:tcPr>
          <w:p w14:paraId="30152B65">
            <w:pPr>
              <w:widowControl/>
              <w:spacing w:line="300" w:lineRule="auto"/>
              <w:jc w:val="left"/>
              <w:rPr>
                <w:rFonts w:ascii="Times New Roman" w:hAnsi="Times New Roman"/>
                <w:color w:val="000000"/>
                <w:sz w:val="22"/>
                <w:szCs w:val="21"/>
              </w:rPr>
            </w:pPr>
            <w:r>
              <w:rPr>
                <w:rFonts w:ascii="Times New Roman" w:hAnsi="Times New Roman"/>
                <w:color w:val="000000"/>
                <w:sz w:val="22"/>
                <w:szCs w:val="21"/>
              </w:rPr>
              <w:t>投标人自行增补</w:t>
            </w:r>
          </w:p>
        </w:tc>
        <w:tc>
          <w:tcPr>
            <w:tcW w:w="979" w:type="dxa"/>
            <w:tcMar>
              <w:top w:w="150" w:type="dxa"/>
              <w:left w:w="240" w:type="dxa"/>
              <w:bottom w:w="150" w:type="dxa"/>
              <w:right w:w="240" w:type="dxa"/>
            </w:tcMar>
            <w:vAlign w:val="center"/>
          </w:tcPr>
          <w:p w14:paraId="3E644F5D">
            <w:pPr>
              <w:widowControl/>
              <w:spacing w:line="300" w:lineRule="auto"/>
              <w:jc w:val="center"/>
              <w:rPr>
                <w:rFonts w:ascii="Times New Roman" w:hAnsi="Times New Roman"/>
                <w:color w:val="000000"/>
                <w:sz w:val="22"/>
                <w:szCs w:val="21"/>
              </w:rPr>
            </w:pPr>
          </w:p>
        </w:tc>
        <w:tc>
          <w:tcPr>
            <w:tcW w:w="1503" w:type="dxa"/>
            <w:tcMar>
              <w:top w:w="150" w:type="dxa"/>
              <w:left w:w="240" w:type="dxa"/>
              <w:bottom w:w="150" w:type="dxa"/>
              <w:right w:w="240" w:type="dxa"/>
            </w:tcMar>
            <w:vAlign w:val="center"/>
          </w:tcPr>
          <w:p w14:paraId="6803F3EF">
            <w:pPr>
              <w:widowControl/>
              <w:spacing w:line="300" w:lineRule="auto"/>
              <w:jc w:val="center"/>
              <w:rPr>
                <w:rFonts w:ascii="Times New Roman" w:hAnsi="Times New Roman"/>
                <w:color w:val="000000"/>
                <w:sz w:val="22"/>
                <w:szCs w:val="21"/>
              </w:rPr>
            </w:pPr>
          </w:p>
        </w:tc>
        <w:tc>
          <w:tcPr>
            <w:tcW w:w="2286" w:type="dxa"/>
            <w:tcMar>
              <w:top w:w="150" w:type="dxa"/>
              <w:left w:w="240" w:type="dxa"/>
              <w:bottom w:w="150" w:type="dxa"/>
              <w:right w:w="240" w:type="dxa"/>
            </w:tcMar>
            <w:vAlign w:val="center"/>
          </w:tcPr>
          <w:p w14:paraId="42A27DA6">
            <w:pPr>
              <w:widowControl/>
              <w:spacing w:line="300" w:lineRule="auto"/>
              <w:jc w:val="center"/>
              <w:rPr>
                <w:rFonts w:ascii="Times New Roman" w:hAnsi="Times New Roman"/>
                <w:color w:val="000000"/>
                <w:sz w:val="22"/>
                <w:szCs w:val="21"/>
              </w:rPr>
            </w:pPr>
          </w:p>
        </w:tc>
        <w:tc>
          <w:tcPr>
            <w:tcW w:w="1787" w:type="dxa"/>
            <w:tcMar>
              <w:top w:w="150" w:type="dxa"/>
              <w:left w:w="240" w:type="dxa"/>
              <w:bottom w:w="150" w:type="dxa"/>
              <w:right w:w="0" w:type="dxa"/>
            </w:tcMar>
            <w:vAlign w:val="center"/>
          </w:tcPr>
          <w:p w14:paraId="63F9795D">
            <w:pPr>
              <w:widowControl/>
              <w:spacing w:line="300" w:lineRule="auto"/>
              <w:jc w:val="center"/>
              <w:rPr>
                <w:rFonts w:ascii="Times New Roman" w:hAnsi="Times New Roman"/>
                <w:color w:val="000000"/>
                <w:sz w:val="22"/>
                <w:szCs w:val="21"/>
              </w:rPr>
            </w:pPr>
          </w:p>
        </w:tc>
      </w:tr>
      <w:tr w14:paraId="7DD6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7" w:hRule="exact"/>
        </w:trPr>
        <w:tc>
          <w:tcPr>
            <w:tcW w:w="9538" w:type="dxa"/>
            <w:gridSpan w:val="6"/>
            <w:tcMar>
              <w:top w:w="150" w:type="dxa"/>
              <w:left w:w="0" w:type="dxa"/>
              <w:bottom w:w="150" w:type="dxa"/>
              <w:right w:w="240" w:type="dxa"/>
            </w:tcMar>
            <w:vAlign w:val="center"/>
          </w:tcPr>
          <w:p w14:paraId="21B28C71">
            <w:pPr>
              <w:widowControl/>
              <w:tabs>
                <w:tab w:val="left" w:pos="2646"/>
              </w:tabs>
              <w:spacing w:line="300" w:lineRule="auto"/>
              <w:jc w:val="left"/>
              <w:rPr>
                <w:rFonts w:ascii="Times New Roman" w:hAnsi="Times New Roman"/>
                <w:color w:val="000000"/>
                <w:sz w:val="22"/>
                <w:szCs w:val="21"/>
              </w:rPr>
            </w:pPr>
            <w:r>
              <w:rPr>
                <w:rFonts w:ascii="Times New Roman" w:hAnsi="Times New Roman"/>
                <w:color w:val="000000"/>
                <w:sz w:val="22"/>
                <w:szCs w:val="21"/>
              </w:rPr>
              <w:t>投标人应列出为完成本工程所需的所有关键设备</w:t>
            </w:r>
          </w:p>
        </w:tc>
      </w:tr>
    </w:tbl>
    <w:p w14:paraId="6DEAD402">
      <w:pPr>
        <w:pStyle w:val="16"/>
        <w:shd w:val="clear" w:color="auto" w:fill="FFFFFF"/>
        <w:spacing w:line="300" w:lineRule="auto"/>
        <w:rPr>
          <w:rFonts w:eastAsia="等线"/>
          <w:color w:val="000000"/>
          <w:szCs w:val="22"/>
        </w:rPr>
      </w:pPr>
    </w:p>
    <w:p w14:paraId="65695B1E">
      <w:pPr>
        <w:pStyle w:val="16"/>
        <w:shd w:val="clear" w:color="auto" w:fill="FFFFFF"/>
        <w:spacing w:line="300" w:lineRule="auto"/>
        <w:jc w:val="center"/>
        <w:rPr>
          <w:rFonts w:eastAsia="等线"/>
          <w:color w:val="000000"/>
          <w:szCs w:val="22"/>
        </w:rPr>
      </w:pPr>
      <w:r>
        <w:rPr>
          <w:rFonts w:eastAsia="等线"/>
          <w:color w:val="000000"/>
          <w:szCs w:val="22"/>
        </w:rPr>
        <w:t>附表二：劳动力计划表</w:t>
      </w:r>
    </w:p>
    <w:p w14:paraId="0F3C0BF1">
      <w:pPr>
        <w:pStyle w:val="16"/>
        <w:shd w:val="clear" w:color="auto" w:fill="FFFFFF"/>
        <w:spacing w:line="300" w:lineRule="auto"/>
        <w:rPr>
          <w:rFonts w:eastAsia="等线"/>
          <w:color w:val="000000"/>
          <w:szCs w:val="22"/>
        </w:rPr>
      </w:pPr>
      <w:r>
        <w:rPr>
          <w:rFonts w:eastAsia="等线"/>
          <w:color w:val="000000"/>
          <w:szCs w:val="22"/>
        </w:rPr>
        <w:t>单位：人</w:t>
      </w:r>
    </w:p>
    <w:tbl>
      <w:tblPr>
        <w:tblStyle w:val="18"/>
        <w:tblW w:w="50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767"/>
        <w:gridCol w:w="2337"/>
        <w:gridCol w:w="2207"/>
      </w:tblGrid>
      <w:tr w14:paraId="53BF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2266" w:type="pct"/>
            <w:tcMar>
              <w:top w:w="150" w:type="dxa"/>
              <w:left w:w="0" w:type="dxa"/>
              <w:bottom w:w="150" w:type="dxa"/>
              <w:right w:w="240" w:type="dxa"/>
            </w:tcMar>
            <w:vAlign w:val="center"/>
          </w:tcPr>
          <w:p w14:paraId="53508438">
            <w:pPr>
              <w:spacing w:line="300" w:lineRule="auto"/>
              <w:jc w:val="center"/>
              <w:rPr>
                <w:rFonts w:ascii="Times New Roman" w:hAnsi="Times New Roman"/>
                <w:color w:val="000000"/>
                <w:sz w:val="22"/>
                <w:szCs w:val="21"/>
              </w:rPr>
            </w:pPr>
            <w:r>
              <w:rPr>
                <w:rFonts w:ascii="Times New Roman" w:hAnsi="Times New Roman"/>
                <w:color w:val="000000"/>
                <w:sz w:val="22"/>
                <w:szCs w:val="21"/>
              </w:rPr>
              <w:t>工种</w:t>
            </w:r>
          </w:p>
        </w:tc>
        <w:tc>
          <w:tcPr>
            <w:tcW w:w="2733" w:type="pct"/>
            <w:gridSpan w:val="2"/>
            <w:tcMar>
              <w:top w:w="150" w:type="dxa"/>
              <w:left w:w="240" w:type="dxa"/>
              <w:bottom w:w="150" w:type="dxa"/>
              <w:right w:w="240" w:type="dxa"/>
            </w:tcMar>
            <w:vAlign w:val="center"/>
          </w:tcPr>
          <w:p w14:paraId="2C817A5F">
            <w:pPr>
              <w:spacing w:line="300" w:lineRule="auto"/>
              <w:jc w:val="center"/>
              <w:rPr>
                <w:rFonts w:ascii="Times New Roman" w:hAnsi="Times New Roman"/>
                <w:color w:val="000000"/>
                <w:sz w:val="22"/>
                <w:szCs w:val="21"/>
              </w:rPr>
            </w:pPr>
            <w:r>
              <w:rPr>
                <w:rFonts w:ascii="Times New Roman" w:hAnsi="Times New Roman"/>
                <w:color w:val="000000"/>
                <w:sz w:val="22"/>
                <w:szCs w:val="21"/>
              </w:rPr>
              <w:t>按工程施工阶段投入劳动力情况</w:t>
            </w:r>
          </w:p>
        </w:tc>
      </w:tr>
      <w:tr w14:paraId="3CF8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2266" w:type="pct"/>
            <w:tcMar>
              <w:top w:w="150" w:type="dxa"/>
              <w:left w:w="0" w:type="dxa"/>
              <w:bottom w:w="150" w:type="dxa"/>
              <w:right w:w="240" w:type="dxa"/>
            </w:tcMar>
            <w:vAlign w:val="center"/>
          </w:tcPr>
          <w:p w14:paraId="6E637663">
            <w:pPr>
              <w:spacing w:line="300" w:lineRule="auto"/>
              <w:jc w:val="center"/>
              <w:rPr>
                <w:rFonts w:ascii="Times New Roman" w:hAnsi="Times New Roman"/>
                <w:color w:val="000000"/>
                <w:sz w:val="22"/>
                <w:szCs w:val="21"/>
              </w:rPr>
            </w:pPr>
          </w:p>
        </w:tc>
        <w:tc>
          <w:tcPr>
            <w:tcW w:w="1406" w:type="pct"/>
            <w:tcMar>
              <w:top w:w="150" w:type="dxa"/>
              <w:left w:w="240" w:type="dxa"/>
              <w:bottom w:w="150" w:type="dxa"/>
              <w:right w:w="240" w:type="dxa"/>
            </w:tcMar>
            <w:vAlign w:val="center"/>
          </w:tcPr>
          <w:p w14:paraId="235A6CFC">
            <w:pPr>
              <w:spacing w:line="300" w:lineRule="auto"/>
              <w:jc w:val="center"/>
              <w:rPr>
                <w:rFonts w:ascii="Times New Roman" w:hAnsi="Times New Roman"/>
                <w:color w:val="000000"/>
                <w:sz w:val="22"/>
                <w:szCs w:val="21"/>
              </w:rPr>
            </w:pPr>
            <w:r>
              <w:rPr>
                <w:rFonts w:ascii="Times New Roman" w:hAnsi="Times New Roman"/>
                <w:color w:val="000000"/>
                <w:sz w:val="22"/>
                <w:szCs w:val="21"/>
              </w:rPr>
              <w:t>第一阶段</w:t>
            </w:r>
            <w:r>
              <w:rPr>
                <w:rFonts w:ascii="Times New Roman" w:hAnsi="Times New Roman"/>
                <w:color w:val="000000"/>
                <w:sz w:val="22"/>
                <w:szCs w:val="21"/>
              </w:rPr>
              <w:br w:type="textWrapping"/>
            </w:r>
            <w:r>
              <w:rPr>
                <w:rFonts w:ascii="Times New Roman" w:hAnsi="Times New Roman"/>
                <w:color w:val="000000"/>
                <w:sz w:val="22"/>
                <w:szCs w:val="21"/>
              </w:rPr>
              <w:t>（2026.2.1</w:t>
            </w:r>
            <w:r>
              <w:rPr>
                <w:rFonts w:hint="eastAsia" w:ascii="Times New Roman" w:hAnsi="Times New Roman"/>
                <w:color w:val="000000"/>
                <w:sz w:val="22"/>
                <w:szCs w:val="21"/>
              </w:rPr>
              <w:t>3</w:t>
            </w:r>
            <w:r>
              <w:rPr>
                <w:rFonts w:ascii="Times New Roman" w:hAnsi="Times New Roman"/>
                <w:color w:val="000000"/>
                <w:sz w:val="22"/>
                <w:szCs w:val="21"/>
              </w:rPr>
              <w:t>-2.14）</w:t>
            </w:r>
          </w:p>
        </w:tc>
        <w:tc>
          <w:tcPr>
            <w:tcW w:w="1326" w:type="pct"/>
            <w:tcMar>
              <w:top w:w="150" w:type="dxa"/>
              <w:left w:w="240" w:type="dxa"/>
              <w:bottom w:w="150" w:type="dxa"/>
              <w:right w:w="0" w:type="dxa"/>
            </w:tcMar>
            <w:vAlign w:val="center"/>
          </w:tcPr>
          <w:p w14:paraId="3751B0E2">
            <w:pPr>
              <w:spacing w:line="300" w:lineRule="auto"/>
              <w:jc w:val="center"/>
              <w:rPr>
                <w:rFonts w:ascii="Times New Roman" w:hAnsi="Times New Roman"/>
                <w:color w:val="000000"/>
                <w:sz w:val="22"/>
                <w:szCs w:val="21"/>
              </w:rPr>
            </w:pPr>
            <w:r>
              <w:rPr>
                <w:rFonts w:ascii="Times New Roman" w:hAnsi="Times New Roman"/>
                <w:color w:val="000000"/>
                <w:sz w:val="22"/>
                <w:szCs w:val="21"/>
              </w:rPr>
              <w:t>第二阶段</w:t>
            </w:r>
            <w:r>
              <w:rPr>
                <w:rFonts w:ascii="Times New Roman" w:hAnsi="Times New Roman"/>
                <w:color w:val="000000"/>
                <w:sz w:val="22"/>
                <w:szCs w:val="21"/>
              </w:rPr>
              <w:br w:type="textWrapping"/>
            </w:r>
            <w:r>
              <w:rPr>
                <w:rFonts w:ascii="Times New Roman" w:hAnsi="Times New Roman"/>
                <w:color w:val="000000"/>
                <w:sz w:val="22"/>
                <w:szCs w:val="21"/>
              </w:rPr>
              <w:t>（2026.2.24-2.2</w:t>
            </w:r>
            <w:r>
              <w:rPr>
                <w:rFonts w:hint="eastAsia" w:ascii="Times New Roman" w:hAnsi="Times New Roman"/>
                <w:color w:val="000000"/>
                <w:sz w:val="22"/>
                <w:szCs w:val="21"/>
              </w:rPr>
              <w:t>7</w:t>
            </w:r>
            <w:r>
              <w:rPr>
                <w:rFonts w:ascii="Times New Roman" w:hAnsi="Times New Roman"/>
                <w:color w:val="000000"/>
                <w:sz w:val="22"/>
                <w:szCs w:val="21"/>
              </w:rPr>
              <w:t>）</w:t>
            </w:r>
          </w:p>
        </w:tc>
      </w:tr>
      <w:tr w14:paraId="086EB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2266" w:type="pct"/>
            <w:tcMar>
              <w:top w:w="150" w:type="dxa"/>
              <w:left w:w="0" w:type="dxa"/>
              <w:bottom w:w="150" w:type="dxa"/>
              <w:right w:w="240" w:type="dxa"/>
            </w:tcMar>
            <w:vAlign w:val="center"/>
          </w:tcPr>
          <w:p w14:paraId="5000D759">
            <w:pPr>
              <w:spacing w:line="300" w:lineRule="auto"/>
              <w:jc w:val="center"/>
              <w:rPr>
                <w:rFonts w:ascii="Times New Roman" w:hAnsi="Times New Roman"/>
                <w:color w:val="000000"/>
                <w:sz w:val="22"/>
                <w:szCs w:val="21"/>
              </w:rPr>
            </w:pPr>
            <w:r>
              <w:rPr>
                <w:rFonts w:ascii="Times New Roman" w:hAnsi="Times New Roman"/>
                <w:color w:val="000000"/>
                <w:sz w:val="22"/>
                <w:szCs w:val="21"/>
              </w:rPr>
              <w:t>项目经理及管理人员</w:t>
            </w:r>
          </w:p>
        </w:tc>
        <w:tc>
          <w:tcPr>
            <w:tcW w:w="1406" w:type="pct"/>
            <w:tcMar>
              <w:top w:w="150" w:type="dxa"/>
              <w:left w:w="240" w:type="dxa"/>
              <w:bottom w:w="150" w:type="dxa"/>
              <w:right w:w="240" w:type="dxa"/>
            </w:tcMar>
            <w:vAlign w:val="center"/>
          </w:tcPr>
          <w:p w14:paraId="41DBB8DE">
            <w:pPr>
              <w:spacing w:line="300" w:lineRule="auto"/>
              <w:jc w:val="center"/>
              <w:rPr>
                <w:rFonts w:ascii="Times New Roman" w:hAnsi="Times New Roman"/>
                <w:color w:val="000000"/>
                <w:sz w:val="22"/>
                <w:szCs w:val="21"/>
              </w:rPr>
            </w:pPr>
          </w:p>
        </w:tc>
        <w:tc>
          <w:tcPr>
            <w:tcW w:w="1326" w:type="pct"/>
            <w:tcMar>
              <w:top w:w="150" w:type="dxa"/>
              <w:left w:w="240" w:type="dxa"/>
              <w:bottom w:w="150" w:type="dxa"/>
              <w:right w:w="0" w:type="dxa"/>
            </w:tcMar>
            <w:vAlign w:val="center"/>
          </w:tcPr>
          <w:p w14:paraId="65529359">
            <w:pPr>
              <w:spacing w:line="300" w:lineRule="auto"/>
              <w:jc w:val="center"/>
              <w:rPr>
                <w:rFonts w:ascii="Times New Roman" w:hAnsi="Times New Roman"/>
                <w:color w:val="000000"/>
                <w:sz w:val="22"/>
                <w:szCs w:val="21"/>
              </w:rPr>
            </w:pPr>
          </w:p>
        </w:tc>
      </w:tr>
      <w:tr w14:paraId="6825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2266" w:type="pct"/>
            <w:tcMar>
              <w:top w:w="150" w:type="dxa"/>
              <w:left w:w="0" w:type="dxa"/>
              <w:bottom w:w="150" w:type="dxa"/>
              <w:right w:w="240" w:type="dxa"/>
            </w:tcMar>
            <w:vAlign w:val="center"/>
          </w:tcPr>
          <w:p w14:paraId="5823A5EB">
            <w:pPr>
              <w:spacing w:line="300" w:lineRule="auto"/>
              <w:jc w:val="center"/>
              <w:rPr>
                <w:rFonts w:ascii="Times New Roman" w:hAnsi="Times New Roman"/>
                <w:color w:val="000000"/>
                <w:sz w:val="22"/>
                <w:szCs w:val="21"/>
              </w:rPr>
            </w:pPr>
            <w:r>
              <w:rPr>
                <w:rFonts w:ascii="Times New Roman" w:hAnsi="Times New Roman"/>
                <w:color w:val="000000"/>
                <w:sz w:val="22"/>
                <w:szCs w:val="21"/>
              </w:rPr>
              <w:t>机械操作手（各类司机）</w:t>
            </w:r>
          </w:p>
        </w:tc>
        <w:tc>
          <w:tcPr>
            <w:tcW w:w="1406" w:type="pct"/>
            <w:tcMar>
              <w:top w:w="150" w:type="dxa"/>
              <w:left w:w="240" w:type="dxa"/>
              <w:bottom w:w="150" w:type="dxa"/>
              <w:right w:w="240" w:type="dxa"/>
            </w:tcMar>
            <w:vAlign w:val="center"/>
          </w:tcPr>
          <w:p w14:paraId="0B7C770E">
            <w:pPr>
              <w:spacing w:line="300" w:lineRule="auto"/>
              <w:jc w:val="center"/>
              <w:rPr>
                <w:rFonts w:ascii="Times New Roman" w:hAnsi="Times New Roman"/>
                <w:color w:val="000000"/>
                <w:sz w:val="22"/>
                <w:szCs w:val="21"/>
              </w:rPr>
            </w:pPr>
          </w:p>
        </w:tc>
        <w:tc>
          <w:tcPr>
            <w:tcW w:w="1326" w:type="pct"/>
            <w:tcMar>
              <w:top w:w="150" w:type="dxa"/>
              <w:left w:w="240" w:type="dxa"/>
              <w:bottom w:w="150" w:type="dxa"/>
              <w:right w:w="0" w:type="dxa"/>
            </w:tcMar>
            <w:vAlign w:val="center"/>
          </w:tcPr>
          <w:p w14:paraId="71F98172">
            <w:pPr>
              <w:spacing w:line="300" w:lineRule="auto"/>
              <w:jc w:val="center"/>
              <w:rPr>
                <w:rFonts w:ascii="Times New Roman" w:hAnsi="Times New Roman"/>
                <w:color w:val="000000"/>
                <w:sz w:val="22"/>
                <w:szCs w:val="21"/>
              </w:rPr>
            </w:pPr>
          </w:p>
        </w:tc>
      </w:tr>
      <w:tr w14:paraId="618C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2266" w:type="pct"/>
            <w:tcMar>
              <w:top w:w="150" w:type="dxa"/>
              <w:left w:w="0" w:type="dxa"/>
              <w:bottom w:w="150" w:type="dxa"/>
              <w:right w:w="240" w:type="dxa"/>
            </w:tcMar>
            <w:vAlign w:val="center"/>
          </w:tcPr>
          <w:p w14:paraId="02A2D84A">
            <w:pPr>
              <w:spacing w:line="300" w:lineRule="auto"/>
              <w:jc w:val="center"/>
              <w:rPr>
                <w:rFonts w:ascii="Times New Roman" w:hAnsi="Times New Roman"/>
                <w:color w:val="000000"/>
                <w:sz w:val="22"/>
                <w:szCs w:val="21"/>
              </w:rPr>
            </w:pPr>
            <w:r>
              <w:rPr>
                <w:rFonts w:ascii="Times New Roman" w:hAnsi="Times New Roman"/>
                <w:color w:val="000000"/>
                <w:sz w:val="22"/>
                <w:szCs w:val="21"/>
              </w:rPr>
              <w:t>摊铺工、压路机手</w:t>
            </w:r>
          </w:p>
        </w:tc>
        <w:tc>
          <w:tcPr>
            <w:tcW w:w="1406" w:type="pct"/>
            <w:tcMar>
              <w:top w:w="150" w:type="dxa"/>
              <w:left w:w="240" w:type="dxa"/>
              <w:bottom w:w="150" w:type="dxa"/>
              <w:right w:w="240" w:type="dxa"/>
            </w:tcMar>
            <w:vAlign w:val="center"/>
          </w:tcPr>
          <w:p w14:paraId="3F145359">
            <w:pPr>
              <w:spacing w:line="300" w:lineRule="auto"/>
              <w:jc w:val="center"/>
              <w:rPr>
                <w:rFonts w:ascii="Times New Roman" w:hAnsi="Times New Roman"/>
                <w:color w:val="000000"/>
                <w:sz w:val="22"/>
                <w:szCs w:val="21"/>
              </w:rPr>
            </w:pPr>
          </w:p>
        </w:tc>
        <w:tc>
          <w:tcPr>
            <w:tcW w:w="1326" w:type="pct"/>
            <w:tcMar>
              <w:top w:w="150" w:type="dxa"/>
              <w:left w:w="240" w:type="dxa"/>
              <w:bottom w:w="150" w:type="dxa"/>
              <w:right w:w="0" w:type="dxa"/>
            </w:tcMar>
            <w:vAlign w:val="center"/>
          </w:tcPr>
          <w:p w14:paraId="2C33F548">
            <w:pPr>
              <w:spacing w:line="300" w:lineRule="auto"/>
              <w:jc w:val="center"/>
              <w:rPr>
                <w:rFonts w:ascii="Times New Roman" w:hAnsi="Times New Roman"/>
                <w:color w:val="000000"/>
                <w:sz w:val="22"/>
                <w:szCs w:val="21"/>
              </w:rPr>
            </w:pPr>
          </w:p>
        </w:tc>
      </w:tr>
      <w:tr w14:paraId="37E7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2266" w:type="pct"/>
            <w:tcMar>
              <w:top w:w="150" w:type="dxa"/>
              <w:left w:w="0" w:type="dxa"/>
              <w:bottom w:w="150" w:type="dxa"/>
              <w:right w:w="240" w:type="dxa"/>
            </w:tcMar>
            <w:vAlign w:val="center"/>
          </w:tcPr>
          <w:p w14:paraId="4D4FA359">
            <w:pPr>
              <w:spacing w:line="300" w:lineRule="auto"/>
              <w:jc w:val="center"/>
              <w:rPr>
                <w:rFonts w:ascii="Times New Roman" w:hAnsi="Times New Roman"/>
                <w:color w:val="000000"/>
                <w:sz w:val="22"/>
                <w:szCs w:val="21"/>
              </w:rPr>
            </w:pPr>
            <w:r>
              <w:rPr>
                <w:rFonts w:ascii="Times New Roman" w:hAnsi="Times New Roman"/>
                <w:color w:val="000000"/>
                <w:sz w:val="22"/>
                <w:szCs w:val="21"/>
              </w:rPr>
              <w:t>普工</w:t>
            </w:r>
          </w:p>
        </w:tc>
        <w:tc>
          <w:tcPr>
            <w:tcW w:w="1406" w:type="pct"/>
            <w:tcMar>
              <w:top w:w="150" w:type="dxa"/>
              <w:left w:w="240" w:type="dxa"/>
              <w:bottom w:w="150" w:type="dxa"/>
              <w:right w:w="240" w:type="dxa"/>
            </w:tcMar>
            <w:vAlign w:val="center"/>
          </w:tcPr>
          <w:p w14:paraId="1E20A27F">
            <w:pPr>
              <w:spacing w:line="300" w:lineRule="auto"/>
              <w:jc w:val="center"/>
              <w:rPr>
                <w:rFonts w:ascii="Times New Roman" w:hAnsi="Times New Roman"/>
                <w:color w:val="000000"/>
                <w:sz w:val="22"/>
                <w:szCs w:val="21"/>
              </w:rPr>
            </w:pPr>
          </w:p>
        </w:tc>
        <w:tc>
          <w:tcPr>
            <w:tcW w:w="1326" w:type="pct"/>
            <w:tcMar>
              <w:top w:w="150" w:type="dxa"/>
              <w:left w:w="240" w:type="dxa"/>
              <w:bottom w:w="150" w:type="dxa"/>
              <w:right w:w="0" w:type="dxa"/>
            </w:tcMar>
            <w:vAlign w:val="center"/>
          </w:tcPr>
          <w:p w14:paraId="443ED30E">
            <w:pPr>
              <w:spacing w:line="300" w:lineRule="auto"/>
              <w:jc w:val="center"/>
              <w:rPr>
                <w:rFonts w:ascii="Times New Roman" w:hAnsi="Times New Roman"/>
                <w:color w:val="000000"/>
                <w:sz w:val="22"/>
                <w:szCs w:val="21"/>
              </w:rPr>
            </w:pPr>
          </w:p>
        </w:tc>
      </w:tr>
      <w:tr w14:paraId="4F09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2266" w:type="pct"/>
            <w:tcMar>
              <w:top w:w="150" w:type="dxa"/>
              <w:left w:w="0" w:type="dxa"/>
              <w:bottom w:w="150" w:type="dxa"/>
              <w:right w:w="240" w:type="dxa"/>
            </w:tcMar>
            <w:vAlign w:val="center"/>
          </w:tcPr>
          <w:p w14:paraId="3986A48F">
            <w:pPr>
              <w:spacing w:line="300" w:lineRule="auto"/>
              <w:jc w:val="center"/>
              <w:rPr>
                <w:rFonts w:ascii="Times New Roman" w:hAnsi="Times New Roman"/>
                <w:color w:val="000000"/>
                <w:sz w:val="22"/>
                <w:szCs w:val="21"/>
              </w:rPr>
            </w:pPr>
            <w:r>
              <w:rPr>
                <w:rFonts w:ascii="Times New Roman" w:hAnsi="Times New Roman"/>
                <w:color w:val="000000"/>
                <w:sz w:val="22"/>
                <w:szCs w:val="21"/>
              </w:rPr>
              <w:t>电工、试验员等辅助工种</w:t>
            </w:r>
          </w:p>
        </w:tc>
        <w:tc>
          <w:tcPr>
            <w:tcW w:w="1406" w:type="pct"/>
            <w:tcMar>
              <w:top w:w="150" w:type="dxa"/>
              <w:left w:w="240" w:type="dxa"/>
              <w:bottom w:w="150" w:type="dxa"/>
              <w:right w:w="240" w:type="dxa"/>
            </w:tcMar>
            <w:vAlign w:val="center"/>
          </w:tcPr>
          <w:p w14:paraId="71D9B82E">
            <w:pPr>
              <w:spacing w:line="300" w:lineRule="auto"/>
              <w:jc w:val="center"/>
              <w:rPr>
                <w:rFonts w:ascii="Times New Roman" w:hAnsi="Times New Roman"/>
                <w:color w:val="000000"/>
                <w:sz w:val="22"/>
                <w:szCs w:val="21"/>
              </w:rPr>
            </w:pPr>
          </w:p>
        </w:tc>
        <w:tc>
          <w:tcPr>
            <w:tcW w:w="1326" w:type="pct"/>
            <w:tcMar>
              <w:top w:w="150" w:type="dxa"/>
              <w:left w:w="240" w:type="dxa"/>
              <w:bottom w:w="150" w:type="dxa"/>
              <w:right w:w="0" w:type="dxa"/>
            </w:tcMar>
            <w:vAlign w:val="center"/>
          </w:tcPr>
          <w:p w14:paraId="5C951A5F">
            <w:pPr>
              <w:spacing w:line="300" w:lineRule="auto"/>
              <w:jc w:val="center"/>
              <w:rPr>
                <w:rFonts w:ascii="Times New Roman" w:hAnsi="Times New Roman"/>
                <w:color w:val="000000"/>
                <w:sz w:val="22"/>
                <w:szCs w:val="21"/>
              </w:rPr>
            </w:pPr>
          </w:p>
        </w:tc>
      </w:tr>
      <w:tr w14:paraId="75A0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2266" w:type="pct"/>
            <w:tcMar>
              <w:top w:w="150" w:type="dxa"/>
              <w:left w:w="0" w:type="dxa"/>
              <w:bottom w:w="150" w:type="dxa"/>
              <w:right w:w="240" w:type="dxa"/>
            </w:tcMar>
            <w:vAlign w:val="center"/>
          </w:tcPr>
          <w:p w14:paraId="655E7FBB">
            <w:pPr>
              <w:spacing w:line="300" w:lineRule="auto"/>
              <w:jc w:val="center"/>
              <w:rPr>
                <w:rFonts w:ascii="Times New Roman" w:hAnsi="Times New Roman"/>
                <w:color w:val="000000"/>
                <w:sz w:val="22"/>
                <w:szCs w:val="21"/>
              </w:rPr>
            </w:pPr>
            <w:r>
              <w:rPr>
                <w:rFonts w:ascii="Times New Roman" w:hAnsi="Times New Roman"/>
                <w:color w:val="000000"/>
                <w:sz w:val="22"/>
                <w:szCs w:val="21"/>
              </w:rPr>
              <w:t>合计</w:t>
            </w:r>
          </w:p>
        </w:tc>
        <w:tc>
          <w:tcPr>
            <w:tcW w:w="1406" w:type="pct"/>
            <w:tcMar>
              <w:top w:w="150" w:type="dxa"/>
              <w:left w:w="240" w:type="dxa"/>
              <w:bottom w:w="150" w:type="dxa"/>
              <w:right w:w="240" w:type="dxa"/>
            </w:tcMar>
            <w:vAlign w:val="center"/>
          </w:tcPr>
          <w:p w14:paraId="40AA68EF">
            <w:pPr>
              <w:spacing w:line="300" w:lineRule="auto"/>
              <w:jc w:val="center"/>
              <w:rPr>
                <w:rFonts w:ascii="Times New Roman" w:hAnsi="Times New Roman"/>
                <w:color w:val="000000"/>
                <w:sz w:val="22"/>
                <w:szCs w:val="21"/>
              </w:rPr>
            </w:pPr>
          </w:p>
        </w:tc>
        <w:tc>
          <w:tcPr>
            <w:tcW w:w="1326" w:type="pct"/>
            <w:tcMar>
              <w:top w:w="150" w:type="dxa"/>
              <w:left w:w="240" w:type="dxa"/>
              <w:bottom w:w="150" w:type="dxa"/>
              <w:right w:w="0" w:type="dxa"/>
            </w:tcMar>
            <w:vAlign w:val="center"/>
          </w:tcPr>
          <w:p w14:paraId="52D1DAE2">
            <w:pPr>
              <w:spacing w:line="300" w:lineRule="auto"/>
              <w:jc w:val="center"/>
              <w:rPr>
                <w:rFonts w:ascii="Times New Roman" w:hAnsi="Times New Roman"/>
                <w:color w:val="000000"/>
                <w:sz w:val="22"/>
                <w:szCs w:val="21"/>
              </w:rPr>
            </w:pPr>
          </w:p>
        </w:tc>
      </w:tr>
      <w:tr w14:paraId="3566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 w:hRule="atLeast"/>
          <w:jc w:val="center"/>
        </w:trPr>
        <w:tc>
          <w:tcPr>
            <w:tcW w:w="5000" w:type="pct"/>
            <w:gridSpan w:val="3"/>
            <w:tcMar>
              <w:top w:w="150" w:type="dxa"/>
              <w:left w:w="0" w:type="dxa"/>
              <w:bottom w:w="150" w:type="dxa"/>
              <w:right w:w="240" w:type="dxa"/>
            </w:tcMar>
            <w:vAlign w:val="center"/>
          </w:tcPr>
          <w:p w14:paraId="2279F69C">
            <w:pPr>
              <w:spacing w:line="300" w:lineRule="auto"/>
              <w:jc w:val="left"/>
              <w:rPr>
                <w:rFonts w:ascii="Times New Roman" w:hAnsi="Times New Roman"/>
                <w:color w:val="000000"/>
                <w:sz w:val="22"/>
                <w:szCs w:val="21"/>
              </w:rPr>
            </w:pPr>
            <w:r>
              <w:rPr>
                <w:rFonts w:ascii="Times New Roman" w:hAnsi="Times New Roman"/>
                <w:color w:val="000000"/>
                <w:sz w:val="22"/>
                <w:szCs w:val="21"/>
              </w:rPr>
              <w:t>投标人应列出各阶段拟投入的具体工种及人数</w:t>
            </w:r>
            <w:r>
              <w:rPr>
                <w:rFonts w:hint="eastAsia" w:ascii="Times New Roman" w:hAnsi="Times New Roman"/>
                <w:color w:val="000000"/>
                <w:sz w:val="22"/>
                <w:szCs w:val="21"/>
              </w:rPr>
              <w:t>，</w:t>
            </w:r>
            <w:r>
              <w:rPr>
                <w:rFonts w:ascii="Times New Roman" w:hAnsi="Times New Roman"/>
                <w:color w:val="000000"/>
                <w:sz w:val="22"/>
                <w:szCs w:val="21"/>
              </w:rPr>
              <w:t>投标人自行增补</w:t>
            </w:r>
          </w:p>
        </w:tc>
      </w:tr>
    </w:tbl>
    <w:p w14:paraId="5B3B7D8E">
      <w:pPr>
        <w:spacing w:line="300" w:lineRule="auto"/>
        <w:rPr>
          <w:rFonts w:cs="等线"/>
          <w:color w:val="000000"/>
          <w:sz w:val="24"/>
        </w:rPr>
      </w:pPr>
      <w:r>
        <w:rPr>
          <w:rFonts w:cs="等线"/>
          <w:color w:val="000000"/>
          <w:sz w:val="24"/>
        </w:rPr>
        <w:t>附表三：施工进度计划表</w:t>
      </w:r>
      <w:r>
        <w:rPr>
          <w:rFonts w:cs="等线"/>
          <w:color w:val="000000"/>
          <w:sz w:val="24"/>
        </w:rPr>
        <w:br w:type="textWrapping"/>
      </w:r>
      <w:r>
        <w:rPr>
          <w:rFonts w:cs="等线"/>
          <w:color w:val="000000"/>
          <w:sz w:val="24"/>
        </w:rPr>
        <w:t>投标人应提交一份施工进度计划横道图，必须清晰反映以下内容：</w:t>
      </w:r>
    </w:p>
    <w:p w14:paraId="226E0EC6">
      <w:pPr>
        <w:spacing w:line="300" w:lineRule="auto"/>
        <w:ind w:firstLine="240" w:firstLineChars="100"/>
        <w:rPr>
          <w:rFonts w:cs="等线"/>
          <w:color w:val="000000"/>
          <w:sz w:val="24"/>
        </w:rPr>
      </w:pPr>
      <w:r>
        <w:rPr>
          <w:rFonts w:hint="eastAsia" w:cs="等线"/>
          <w:color w:val="000000"/>
          <w:sz w:val="24"/>
        </w:rPr>
        <w:t>1、</w:t>
      </w:r>
      <w:r>
        <w:rPr>
          <w:rFonts w:cs="等线"/>
          <w:color w:val="000000"/>
          <w:sz w:val="24"/>
        </w:rPr>
        <w:t>总工期：</w:t>
      </w:r>
      <w:r>
        <w:rPr>
          <w:rFonts w:hint="eastAsia" w:cs="等线"/>
          <w:color w:val="000000"/>
          <w:sz w:val="24"/>
        </w:rPr>
        <w:t>6</w:t>
      </w:r>
      <w:r>
        <w:rPr>
          <w:rFonts w:cs="等线"/>
          <w:color w:val="000000"/>
          <w:sz w:val="24"/>
        </w:rPr>
        <w:t>个日历日。</w:t>
      </w:r>
    </w:p>
    <w:p w14:paraId="7592ACD0">
      <w:pPr>
        <w:spacing w:line="300" w:lineRule="auto"/>
        <w:ind w:firstLine="240" w:firstLineChars="100"/>
        <w:rPr>
          <w:rFonts w:cs="等线"/>
          <w:color w:val="000000"/>
          <w:sz w:val="24"/>
        </w:rPr>
      </w:pPr>
      <w:r>
        <w:rPr>
          <w:rFonts w:hint="eastAsia" w:cs="等线"/>
          <w:color w:val="000000"/>
          <w:sz w:val="24"/>
        </w:rPr>
        <w:t>2、工程</w:t>
      </w:r>
      <w:r>
        <w:rPr>
          <w:rFonts w:cs="等线"/>
          <w:color w:val="000000"/>
          <w:sz w:val="24"/>
        </w:rPr>
        <w:t>节点：</w:t>
      </w:r>
    </w:p>
    <w:p w14:paraId="423E01A7">
      <w:pPr>
        <w:spacing w:line="300" w:lineRule="auto"/>
        <w:ind w:firstLine="480" w:firstLineChars="200"/>
        <w:rPr>
          <w:rFonts w:cs="等线"/>
          <w:color w:val="000000"/>
          <w:sz w:val="24"/>
        </w:rPr>
      </w:pPr>
      <w:r>
        <w:rPr>
          <w:rFonts w:cs="等线"/>
          <w:color w:val="000000"/>
          <w:sz w:val="24"/>
        </w:rPr>
        <w:t>节点一：2026年2月1</w:t>
      </w:r>
      <w:r>
        <w:rPr>
          <w:rFonts w:hint="eastAsia" w:cs="等线"/>
          <w:color w:val="000000"/>
          <w:sz w:val="24"/>
        </w:rPr>
        <w:t>3</w:t>
      </w:r>
      <w:r>
        <w:rPr>
          <w:rFonts w:cs="等线"/>
          <w:color w:val="000000"/>
          <w:sz w:val="24"/>
        </w:rPr>
        <w:t>日至14日，完成““水稳层铺设</w:t>
      </w:r>
      <w:r>
        <w:rPr>
          <w:rFonts w:hint="eastAsia" w:cs="等线"/>
          <w:color w:val="000000"/>
          <w:sz w:val="24"/>
        </w:rPr>
        <w:t>及养护覆盖</w:t>
      </w:r>
      <w:r>
        <w:rPr>
          <w:rFonts w:cs="等线"/>
          <w:color w:val="000000"/>
          <w:sz w:val="24"/>
        </w:rPr>
        <w:t>”。</w:t>
      </w:r>
    </w:p>
    <w:p w14:paraId="0576D478">
      <w:pPr>
        <w:spacing w:line="300" w:lineRule="auto"/>
        <w:ind w:firstLine="480" w:firstLineChars="200"/>
        <w:rPr>
          <w:rFonts w:cs="等线"/>
          <w:color w:val="000000"/>
          <w:sz w:val="24"/>
        </w:rPr>
      </w:pPr>
      <w:r>
        <w:rPr>
          <w:rFonts w:cs="等线"/>
          <w:color w:val="000000"/>
          <w:sz w:val="24"/>
        </w:rPr>
        <w:t>节点二：2026年2月24日至2</w:t>
      </w:r>
      <w:r>
        <w:rPr>
          <w:rFonts w:hint="eastAsia" w:cs="等线"/>
          <w:color w:val="000000"/>
          <w:sz w:val="24"/>
        </w:rPr>
        <w:t>7</w:t>
      </w:r>
      <w:r>
        <w:rPr>
          <w:rFonts w:cs="等线"/>
          <w:color w:val="000000"/>
          <w:sz w:val="24"/>
        </w:rPr>
        <w:t>日，完成“铣刨”和沥青摊铺”。</w:t>
      </w:r>
    </w:p>
    <w:p w14:paraId="6D918D4A">
      <w:pPr>
        <w:pStyle w:val="3"/>
        <w:spacing w:before="0" w:after="0" w:line="300" w:lineRule="auto"/>
        <w:ind w:firstLine="2715" w:firstLineChars="845"/>
        <w:rPr>
          <w:rFonts w:ascii="Times New Roman" w:hAnsi="Times New Roman"/>
          <w:color w:val="000000"/>
          <w:szCs w:val="21"/>
        </w:rPr>
      </w:pPr>
      <w:bookmarkStart w:id="773" w:name="_Toc152042592"/>
      <w:bookmarkStart w:id="774" w:name="_Toc144974871"/>
      <w:bookmarkStart w:id="775" w:name="_Toc247085887"/>
      <w:bookmarkStart w:id="776" w:name="_Toc152045803"/>
      <w:bookmarkStart w:id="777" w:name="_Toc22954"/>
      <w:bookmarkStart w:id="778" w:name="_Toc14712"/>
      <w:bookmarkStart w:id="779" w:name="_Toc296602614"/>
      <w:bookmarkStart w:id="780" w:name="_Toc246996369"/>
      <w:bookmarkStart w:id="781" w:name="_Toc246997112"/>
      <w:bookmarkStart w:id="782" w:name="_Toc179632823"/>
      <w:bookmarkStart w:id="783" w:name="_Toc17298"/>
      <w:r>
        <w:rPr>
          <w:rFonts w:ascii="Times New Roman" w:hAnsi="Times New Roman"/>
          <w:color w:val="000000"/>
        </w:rPr>
        <w:t>（二）项目管理机构</w:t>
      </w:r>
      <w:bookmarkEnd w:id="773"/>
      <w:bookmarkEnd w:id="774"/>
      <w:bookmarkEnd w:id="775"/>
      <w:bookmarkEnd w:id="776"/>
      <w:bookmarkEnd w:id="777"/>
      <w:bookmarkEnd w:id="778"/>
      <w:bookmarkEnd w:id="779"/>
      <w:bookmarkEnd w:id="780"/>
      <w:bookmarkEnd w:id="781"/>
      <w:bookmarkEnd w:id="782"/>
      <w:bookmarkEnd w:id="783"/>
    </w:p>
    <w:p w14:paraId="03E63650">
      <w:pPr>
        <w:pStyle w:val="4"/>
        <w:spacing w:before="0" w:after="0" w:line="300" w:lineRule="auto"/>
        <w:jc w:val="center"/>
        <w:rPr>
          <w:color w:val="000000"/>
        </w:rPr>
      </w:pPr>
      <w:bookmarkStart w:id="784" w:name="_Toc246996370"/>
      <w:bookmarkStart w:id="785" w:name="_Toc144974872"/>
      <w:bookmarkStart w:id="786" w:name="_Toc296602615"/>
      <w:bookmarkStart w:id="787" w:name="_Toc152042593"/>
      <w:bookmarkStart w:id="788" w:name="_Toc1228"/>
      <w:bookmarkStart w:id="789" w:name="_Toc21254"/>
      <w:bookmarkStart w:id="790" w:name="_Toc152045804"/>
      <w:bookmarkStart w:id="791" w:name="_Toc247085888"/>
      <w:bookmarkStart w:id="792" w:name="_Toc179632824"/>
      <w:bookmarkStart w:id="793" w:name="_Toc246997113"/>
      <w:bookmarkStart w:id="794" w:name="_Toc16489"/>
      <w:r>
        <w:rPr>
          <w:color w:val="000000"/>
        </w:rPr>
        <w:t>（1）项目管理机构组成表</w:t>
      </w:r>
      <w:bookmarkEnd w:id="784"/>
      <w:bookmarkEnd w:id="785"/>
      <w:bookmarkEnd w:id="786"/>
      <w:bookmarkEnd w:id="787"/>
      <w:bookmarkEnd w:id="788"/>
      <w:bookmarkEnd w:id="789"/>
      <w:bookmarkEnd w:id="790"/>
      <w:bookmarkEnd w:id="791"/>
      <w:bookmarkEnd w:id="792"/>
      <w:bookmarkEnd w:id="793"/>
      <w:bookmarkEnd w:id="794"/>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721"/>
        <w:gridCol w:w="719"/>
        <w:gridCol w:w="1081"/>
        <w:gridCol w:w="719"/>
        <w:gridCol w:w="721"/>
        <w:gridCol w:w="719"/>
        <w:gridCol w:w="2523"/>
        <w:gridCol w:w="672"/>
      </w:tblGrid>
      <w:tr w14:paraId="249B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7" w:type="dxa"/>
            <w:vMerge w:val="restart"/>
            <w:vAlign w:val="center"/>
          </w:tcPr>
          <w:p w14:paraId="31BE5A3A">
            <w:pPr>
              <w:spacing w:line="300" w:lineRule="auto"/>
              <w:jc w:val="center"/>
              <w:rPr>
                <w:rFonts w:ascii="Times New Roman" w:hAnsi="Times New Roman"/>
                <w:color w:val="000000"/>
                <w:szCs w:val="21"/>
              </w:rPr>
            </w:pPr>
            <w:r>
              <w:rPr>
                <w:rFonts w:ascii="Times New Roman" w:hAnsi="Times New Roman"/>
                <w:color w:val="000000"/>
                <w:szCs w:val="21"/>
              </w:rPr>
              <w:t>职务</w:t>
            </w:r>
          </w:p>
        </w:tc>
        <w:tc>
          <w:tcPr>
            <w:tcW w:w="721" w:type="dxa"/>
            <w:vMerge w:val="restart"/>
            <w:vAlign w:val="center"/>
          </w:tcPr>
          <w:p w14:paraId="6E9841A1">
            <w:pPr>
              <w:spacing w:line="300" w:lineRule="auto"/>
              <w:jc w:val="center"/>
              <w:rPr>
                <w:rFonts w:ascii="Times New Roman" w:hAnsi="Times New Roman"/>
                <w:color w:val="000000"/>
                <w:szCs w:val="21"/>
              </w:rPr>
            </w:pPr>
            <w:r>
              <w:rPr>
                <w:rFonts w:ascii="Times New Roman" w:hAnsi="Times New Roman"/>
                <w:color w:val="000000"/>
                <w:szCs w:val="21"/>
              </w:rPr>
              <w:t>姓名</w:t>
            </w:r>
          </w:p>
        </w:tc>
        <w:tc>
          <w:tcPr>
            <w:tcW w:w="719" w:type="dxa"/>
            <w:vMerge w:val="restart"/>
            <w:vAlign w:val="center"/>
          </w:tcPr>
          <w:p w14:paraId="621AA02B">
            <w:pPr>
              <w:spacing w:line="300" w:lineRule="auto"/>
              <w:jc w:val="center"/>
              <w:rPr>
                <w:rFonts w:ascii="Times New Roman" w:hAnsi="Times New Roman"/>
                <w:color w:val="000000"/>
                <w:szCs w:val="21"/>
              </w:rPr>
            </w:pPr>
            <w:r>
              <w:rPr>
                <w:rFonts w:ascii="Times New Roman" w:hAnsi="Times New Roman"/>
                <w:color w:val="000000"/>
                <w:szCs w:val="21"/>
              </w:rPr>
              <w:t>职称</w:t>
            </w:r>
          </w:p>
        </w:tc>
        <w:tc>
          <w:tcPr>
            <w:tcW w:w="5763" w:type="dxa"/>
            <w:gridSpan w:val="5"/>
            <w:vAlign w:val="center"/>
          </w:tcPr>
          <w:p w14:paraId="327F7401">
            <w:pPr>
              <w:spacing w:line="300" w:lineRule="auto"/>
              <w:jc w:val="center"/>
              <w:rPr>
                <w:rFonts w:ascii="Times New Roman" w:hAnsi="Times New Roman"/>
                <w:color w:val="000000"/>
                <w:szCs w:val="21"/>
              </w:rPr>
            </w:pPr>
            <w:r>
              <w:rPr>
                <w:rFonts w:ascii="Times New Roman" w:hAnsi="Times New Roman"/>
                <w:color w:val="000000"/>
                <w:szCs w:val="21"/>
              </w:rPr>
              <w:t>执业或职业资格证明</w:t>
            </w:r>
          </w:p>
        </w:tc>
        <w:tc>
          <w:tcPr>
            <w:tcW w:w="672" w:type="dxa"/>
            <w:vAlign w:val="center"/>
          </w:tcPr>
          <w:p w14:paraId="5E9210CB">
            <w:pPr>
              <w:spacing w:line="300" w:lineRule="auto"/>
              <w:jc w:val="center"/>
              <w:rPr>
                <w:rFonts w:ascii="Times New Roman" w:hAnsi="Times New Roman"/>
                <w:color w:val="000000"/>
                <w:szCs w:val="21"/>
              </w:rPr>
            </w:pPr>
            <w:r>
              <w:rPr>
                <w:rFonts w:ascii="Times New Roman" w:hAnsi="Times New Roman"/>
                <w:color w:val="000000"/>
                <w:szCs w:val="21"/>
              </w:rPr>
              <w:t>备注</w:t>
            </w:r>
          </w:p>
        </w:tc>
      </w:tr>
      <w:tr w14:paraId="1C14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7" w:type="dxa"/>
            <w:vMerge w:val="continue"/>
            <w:vAlign w:val="center"/>
          </w:tcPr>
          <w:p w14:paraId="70DC3C04">
            <w:pPr>
              <w:spacing w:line="300" w:lineRule="auto"/>
              <w:jc w:val="center"/>
              <w:rPr>
                <w:rFonts w:ascii="Times New Roman" w:hAnsi="Times New Roman"/>
                <w:color w:val="000000"/>
                <w:szCs w:val="21"/>
              </w:rPr>
            </w:pPr>
          </w:p>
        </w:tc>
        <w:tc>
          <w:tcPr>
            <w:tcW w:w="721" w:type="dxa"/>
            <w:vMerge w:val="continue"/>
            <w:vAlign w:val="center"/>
          </w:tcPr>
          <w:p w14:paraId="4BF76C19">
            <w:pPr>
              <w:spacing w:line="300" w:lineRule="auto"/>
              <w:jc w:val="center"/>
              <w:rPr>
                <w:rFonts w:ascii="Times New Roman" w:hAnsi="Times New Roman"/>
                <w:color w:val="000000"/>
                <w:szCs w:val="21"/>
              </w:rPr>
            </w:pPr>
          </w:p>
        </w:tc>
        <w:tc>
          <w:tcPr>
            <w:tcW w:w="719" w:type="dxa"/>
            <w:vMerge w:val="continue"/>
            <w:vAlign w:val="center"/>
          </w:tcPr>
          <w:p w14:paraId="6DFAE4A7">
            <w:pPr>
              <w:spacing w:line="300" w:lineRule="auto"/>
              <w:jc w:val="center"/>
              <w:rPr>
                <w:rFonts w:ascii="Times New Roman" w:hAnsi="Times New Roman"/>
                <w:color w:val="000000"/>
                <w:szCs w:val="21"/>
              </w:rPr>
            </w:pPr>
          </w:p>
        </w:tc>
        <w:tc>
          <w:tcPr>
            <w:tcW w:w="1081" w:type="dxa"/>
            <w:vAlign w:val="center"/>
          </w:tcPr>
          <w:p w14:paraId="4D22D83F">
            <w:pPr>
              <w:spacing w:line="300" w:lineRule="auto"/>
              <w:jc w:val="center"/>
              <w:rPr>
                <w:rFonts w:ascii="Times New Roman" w:hAnsi="Times New Roman"/>
                <w:color w:val="000000"/>
                <w:szCs w:val="21"/>
              </w:rPr>
            </w:pPr>
            <w:r>
              <w:rPr>
                <w:rFonts w:ascii="Times New Roman" w:hAnsi="Times New Roman"/>
                <w:color w:val="000000"/>
                <w:szCs w:val="21"/>
              </w:rPr>
              <w:t>证书名称</w:t>
            </w:r>
          </w:p>
        </w:tc>
        <w:tc>
          <w:tcPr>
            <w:tcW w:w="719" w:type="dxa"/>
            <w:vAlign w:val="center"/>
          </w:tcPr>
          <w:p w14:paraId="4CCED336">
            <w:pPr>
              <w:spacing w:line="300" w:lineRule="auto"/>
              <w:jc w:val="center"/>
              <w:rPr>
                <w:rFonts w:ascii="Times New Roman" w:hAnsi="Times New Roman"/>
                <w:color w:val="000000"/>
                <w:szCs w:val="21"/>
              </w:rPr>
            </w:pPr>
            <w:r>
              <w:rPr>
                <w:rFonts w:ascii="Times New Roman" w:hAnsi="Times New Roman"/>
                <w:color w:val="000000"/>
                <w:szCs w:val="21"/>
              </w:rPr>
              <w:t>级别</w:t>
            </w:r>
          </w:p>
        </w:tc>
        <w:tc>
          <w:tcPr>
            <w:tcW w:w="721" w:type="dxa"/>
            <w:vAlign w:val="center"/>
          </w:tcPr>
          <w:p w14:paraId="35898ECB">
            <w:pPr>
              <w:spacing w:line="300" w:lineRule="auto"/>
              <w:jc w:val="center"/>
              <w:rPr>
                <w:rFonts w:ascii="Times New Roman" w:hAnsi="Times New Roman"/>
                <w:color w:val="000000"/>
                <w:szCs w:val="21"/>
              </w:rPr>
            </w:pPr>
            <w:r>
              <w:rPr>
                <w:rFonts w:ascii="Times New Roman" w:hAnsi="Times New Roman"/>
                <w:color w:val="000000"/>
                <w:szCs w:val="21"/>
              </w:rPr>
              <w:t>证号</w:t>
            </w:r>
          </w:p>
        </w:tc>
        <w:tc>
          <w:tcPr>
            <w:tcW w:w="719" w:type="dxa"/>
            <w:vAlign w:val="center"/>
          </w:tcPr>
          <w:p w14:paraId="7937C2DB">
            <w:pPr>
              <w:spacing w:line="300" w:lineRule="auto"/>
              <w:jc w:val="center"/>
              <w:rPr>
                <w:rFonts w:ascii="Times New Roman" w:hAnsi="Times New Roman"/>
                <w:color w:val="000000"/>
                <w:szCs w:val="21"/>
              </w:rPr>
            </w:pPr>
            <w:r>
              <w:rPr>
                <w:rFonts w:ascii="Times New Roman" w:hAnsi="Times New Roman"/>
                <w:color w:val="000000"/>
                <w:szCs w:val="21"/>
              </w:rPr>
              <w:t>专业</w:t>
            </w:r>
          </w:p>
        </w:tc>
        <w:tc>
          <w:tcPr>
            <w:tcW w:w="2523" w:type="dxa"/>
            <w:vAlign w:val="center"/>
          </w:tcPr>
          <w:p w14:paraId="6B3B45D7">
            <w:pPr>
              <w:spacing w:line="300" w:lineRule="auto"/>
              <w:jc w:val="center"/>
              <w:rPr>
                <w:rFonts w:ascii="Times New Roman" w:hAnsi="Times New Roman"/>
                <w:color w:val="000000"/>
                <w:szCs w:val="21"/>
              </w:rPr>
            </w:pPr>
            <w:r>
              <w:rPr>
                <w:rFonts w:ascii="Times New Roman" w:hAnsi="Times New Roman"/>
                <w:color w:val="000000"/>
                <w:szCs w:val="21"/>
              </w:rPr>
              <w:t>养老保险</w:t>
            </w:r>
          </w:p>
        </w:tc>
        <w:tc>
          <w:tcPr>
            <w:tcW w:w="672" w:type="dxa"/>
            <w:vAlign w:val="center"/>
          </w:tcPr>
          <w:p w14:paraId="5BF333BA">
            <w:pPr>
              <w:spacing w:line="300" w:lineRule="auto"/>
              <w:jc w:val="center"/>
              <w:rPr>
                <w:rFonts w:ascii="Times New Roman" w:hAnsi="Times New Roman"/>
                <w:color w:val="000000"/>
                <w:szCs w:val="21"/>
              </w:rPr>
            </w:pPr>
          </w:p>
        </w:tc>
      </w:tr>
      <w:tr w14:paraId="4461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Align w:val="center"/>
          </w:tcPr>
          <w:p w14:paraId="52B52E43">
            <w:pPr>
              <w:spacing w:line="300" w:lineRule="auto"/>
              <w:jc w:val="center"/>
              <w:rPr>
                <w:rFonts w:ascii="Times New Roman" w:hAnsi="Times New Roman"/>
                <w:color w:val="000000"/>
                <w:szCs w:val="21"/>
              </w:rPr>
            </w:pPr>
          </w:p>
        </w:tc>
        <w:tc>
          <w:tcPr>
            <w:tcW w:w="721" w:type="dxa"/>
            <w:vAlign w:val="center"/>
          </w:tcPr>
          <w:p w14:paraId="0BBC91A4">
            <w:pPr>
              <w:spacing w:line="300" w:lineRule="auto"/>
              <w:jc w:val="center"/>
              <w:rPr>
                <w:rFonts w:ascii="Times New Roman" w:hAnsi="Times New Roman"/>
                <w:color w:val="000000"/>
                <w:szCs w:val="21"/>
              </w:rPr>
            </w:pPr>
          </w:p>
        </w:tc>
        <w:tc>
          <w:tcPr>
            <w:tcW w:w="719" w:type="dxa"/>
            <w:vAlign w:val="center"/>
          </w:tcPr>
          <w:p w14:paraId="5C2BF720">
            <w:pPr>
              <w:spacing w:line="300" w:lineRule="auto"/>
              <w:jc w:val="center"/>
              <w:rPr>
                <w:rFonts w:ascii="Times New Roman" w:hAnsi="Times New Roman"/>
                <w:color w:val="000000"/>
                <w:szCs w:val="21"/>
              </w:rPr>
            </w:pPr>
          </w:p>
        </w:tc>
        <w:tc>
          <w:tcPr>
            <w:tcW w:w="1081" w:type="dxa"/>
            <w:vAlign w:val="center"/>
          </w:tcPr>
          <w:p w14:paraId="1DB46975">
            <w:pPr>
              <w:spacing w:line="300" w:lineRule="auto"/>
              <w:jc w:val="center"/>
              <w:rPr>
                <w:rFonts w:ascii="Times New Roman" w:hAnsi="Times New Roman"/>
                <w:color w:val="000000"/>
                <w:szCs w:val="21"/>
              </w:rPr>
            </w:pPr>
          </w:p>
        </w:tc>
        <w:tc>
          <w:tcPr>
            <w:tcW w:w="719" w:type="dxa"/>
            <w:vAlign w:val="center"/>
          </w:tcPr>
          <w:p w14:paraId="2D3E7762">
            <w:pPr>
              <w:spacing w:line="300" w:lineRule="auto"/>
              <w:jc w:val="center"/>
              <w:rPr>
                <w:rFonts w:ascii="Times New Roman" w:hAnsi="Times New Roman"/>
                <w:color w:val="000000"/>
                <w:szCs w:val="21"/>
              </w:rPr>
            </w:pPr>
          </w:p>
        </w:tc>
        <w:tc>
          <w:tcPr>
            <w:tcW w:w="721" w:type="dxa"/>
            <w:vAlign w:val="center"/>
          </w:tcPr>
          <w:p w14:paraId="5076C830">
            <w:pPr>
              <w:spacing w:line="300" w:lineRule="auto"/>
              <w:jc w:val="center"/>
              <w:rPr>
                <w:rFonts w:ascii="Times New Roman" w:hAnsi="Times New Roman"/>
                <w:color w:val="000000"/>
                <w:szCs w:val="21"/>
              </w:rPr>
            </w:pPr>
          </w:p>
        </w:tc>
        <w:tc>
          <w:tcPr>
            <w:tcW w:w="719" w:type="dxa"/>
            <w:vAlign w:val="center"/>
          </w:tcPr>
          <w:p w14:paraId="77EAAE41">
            <w:pPr>
              <w:spacing w:line="300" w:lineRule="auto"/>
              <w:jc w:val="center"/>
              <w:rPr>
                <w:rFonts w:ascii="Times New Roman" w:hAnsi="Times New Roman"/>
                <w:color w:val="000000"/>
                <w:szCs w:val="21"/>
              </w:rPr>
            </w:pPr>
          </w:p>
        </w:tc>
        <w:tc>
          <w:tcPr>
            <w:tcW w:w="2523" w:type="dxa"/>
            <w:vAlign w:val="center"/>
          </w:tcPr>
          <w:p w14:paraId="012BE522">
            <w:pPr>
              <w:spacing w:line="300" w:lineRule="auto"/>
              <w:jc w:val="center"/>
              <w:rPr>
                <w:rFonts w:ascii="Times New Roman" w:hAnsi="Times New Roman"/>
                <w:color w:val="000000"/>
                <w:szCs w:val="21"/>
              </w:rPr>
            </w:pPr>
          </w:p>
        </w:tc>
        <w:tc>
          <w:tcPr>
            <w:tcW w:w="672" w:type="dxa"/>
            <w:vAlign w:val="center"/>
          </w:tcPr>
          <w:p w14:paraId="0C020406">
            <w:pPr>
              <w:spacing w:line="300" w:lineRule="auto"/>
              <w:jc w:val="center"/>
              <w:rPr>
                <w:rFonts w:ascii="Times New Roman" w:hAnsi="Times New Roman"/>
                <w:color w:val="000000"/>
                <w:szCs w:val="21"/>
              </w:rPr>
            </w:pPr>
          </w:p>
        </w:tc>
      </w:tr>
      <w:tr w14:paraId="24B2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Pr>
          <w:p w14:paraId="5BA05455">
            <w:pPr>
              <w:spacing w:line="300" w:lineRule="auto"/>
              <w:jc w:val="center"/>
              <w:rPr>
                <w:rFonts w:ascii="Times New Roman" w:hAnsi="Times New Roman"/>
                <w:color w:val="000000"/>
                <w:szCs w:val="21"/>
              </w:rPr>
            </w:pPr>
          </w:p>
        </w:tc>
        <w:tc>
          <w:tcPr>
            <w:tcW w:w="721" w:type="dxa"/>
          </w:tcPr>
          <w:p w14:paraId="30D01B65">
            <w:pPr>
              <w:spacing w:line="300" w:lineRule="auto"/>
              <w:jc w:val="center"/>
              <w:rPr>
                <w:rFonts w:ascii="Times New Roman" w:hAnsi="Times New Roman"/>
                <w:color w:val="000000"/>
                <w:szCs w:val="21"/>
              </w:rPr>
            </w:pPr>
          </w:p>
        </w:tc>
        <w:tc>
          <w:tcPr>
            <w:tcW w:w="719" w:type="dxa"/>
          </w:tcPr>
          <w:p w14:paraId="3AB7B55A">
            <w:pPr>
              <w:spacing w:line="300" w:lineRule="auto"/>
              <w:jc w:val="center"/>
              <w:rPr>
                <w:rFonts w:ascii="Times New Roman" w:hAnsi="Times New Roman"/>
                <w:color w:val="000000"/>
                <w:szCs w:val="21"/>
              </w:rPr>
            </w:pPr>
          </w:p>
        </w:tc>
        <w:tc>
          <w:tcPr>
            <w:tcW w:w="1081" w:type="dxa"/>
          </w:tcPr>
          <w:p w14:paraId="34B5185C">
            <w:pPr>
              <w:spacing w:line="300" w:lineRule="auto"/>
              <w:jc w:val="center"/>
              <w:rPr>
                <w:rFonts w:ascii="Times New Roman" w:hAnsi="Times New Roman"/>
                <w:color w:val="000000"/>
                <w:szCs w:val="21"/>
              </w:rPr>
            </w:pPr>
          </w:p>
        </w:tc>
        <w:tc>
          <w:tcPr>
            <w:tcW w:w="719" w:type="dxa"/>
          </w:tcPr>
          <w:p w14:paraId="22745305">
            <w:pPr>
              <w:spacing w:line="300" w:lineRule="auto"/>
              <w:jc w:val="center"/>
              <w:rPr>
                <w:rFonts w:ascii="Times New Roman" w:hAnsi="Times New Roman"/>
                <w:color w:val="000000"/>
                <w:szCs w:val="21"/>
              </w:rPr>
            </w:pPr>
          </w:p>
        </w:tc>
        <w:tc>
          <w:tcPr>
            <w:tcW w:w="721" w:type="dxa"/>
          </w:tcPr>
          <w:p w14:paraId="63A1B93C">
            <w:pPr>
              <w:spacing w:line="300" w:lineRule="auto"/>
              <w:jc w:val="center"/>
              <w:rPr>
                <w:rFonts w:ascii="Times New Roman" w:hAnsi="Times New Roman"/>
                <w:color w:val="000000"/>
                <w:szCs w:val="21"/>
              </w:rPr>
            </w:pPr>
          </w:p>
        </w:tc>
        <w:tc>
          <w:tcPr>
            <w:tcW w:w="719" w:type="dxa"/>
          </w:tcPr>
          <w:p w14:paraId="4E4C2B81">
            <w:pPr>
              <w:spacing w:line="300" w:lineRule="auto"/>
              <w:jc w:val="center"/>
              <w:rPr>
                <w:rFonts w:ascii="Times New Roman" w:hAnsi="Times New Roman"/>
                <w:color w:val="000000"/>
                <w:szCs w:val="21"/>
              </w:rPr>
            </w:pPr>
          </w:p>
        </w:tc>
        <w:tc>
          <w:tcPr>
            <w:tcW w:w="2523" w:type="dxa"/>
          </w:tcPr>
          <w:p w14:paraId="5B2DE59A">
            <w:pPr>
              <w:spacing w:line="300" w:lineRule="auto"/>
              <w:jc w:val="center"/>
              <w:rPr>
                <w:rFonts w:ascii="Times New Roman" w:hAnsi="Times New Roman"/>
                <w:color w:val="000000"/>
                <w:szCs w:val="21"/>
              </w:rPr>
            </w:pPr>
          </w:p>
        </w:tc>
        <w:tc>
          <w:tcPr>
            <w:tcW w:w="672" w:type="dxa"/>
          </w:tcPr>
          <w:p w14:paraId="0ACE3AD0">
            <w:pPr>
              <w:spacing w:line="300" w:lineRule="auto"/>
              <w:jc w:val="center"/>
              <w:rPr>
                <w:rFonts w:ascii="Times New Roman" w:hAnsi="Times New Roman"/>
                <w:color w:val="000000"/>
                <w:szCs w:val="21"/>
              </w:rPr>
            </w:pPr>
          </w:p>
        </w:tc>
      </w:tr>
      <w:tr w14:paraId="3FD6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Pr>
          <w:p w14:paraId="7E3AD0CB">
            <w:pPr>
              <w:spacing w:line="300" w:lineRule="auto"/>
              <w:jc w:val="center"/>
              <w:rPr>
                <w:rFonts w:ascii="Times New Roman" w:hAnsi="Times New Roman"/>
                <w:color w:val="000000"/>
                <w:szCs w:val="21"/>
              </w:rPr>
            </w:pPr>
            <w:r>
              <w:rPr>
                <w:rFonts w:ascii="Times New Roman" w:hAnsi="Times New Roman"/>
                <w:color w:val="000000"/>
                <w:szCs w:val="21"/>
              </w:rPr>
              <w:t>…</w:t>
            </w:r>
          </w:p>
        </w:tc>
        <w:tc>
          <w:tcPr>
            <w:tcW w:w="721" w:type="dxa"/>
          </w:tcPr>
          <w:p w14:paraId="3169095D">
            <w:pPr>
              <w:spacing w:line="300" w:lineRule="auto"/>
              <w:jc w:val="center"/>
              <w:rPr>
                <w:rFonts w:ascii="Times New Roman" w:hAnsi="Times New Roman"/>
                <w:color w:val="000000"/>
                <w:szCs w:val="21"/>
              </w:rPr>
            </w:pPr>
          </w:p>
        </w:tc>
        <w:tc>
          <w:tcPr>
            <w:tcW w:w="719" w:type="dxa"/>
          </w:tcPr>
          <w:p w14:paraId="2598F3F4">
            <w:pPr>
              <w:spacing w:line="300" w:lineRule="auto"/>
              <w:jc w:val="center"/>
              <w:rPr>
                <w:rFonts w:ascii="Times New Roman" w:hAnsi="Times New Roman"/>
                <w:color w:val="000000"/>
                <w:szCs w:val="21"/>
              </w:rPr>
            </w:pPr>
          </w:p>
        </w:tc>
        <w:tc>
          <w:tcPr>
            <w:tcW w:w="1081" w:type="dxa"/>
          </w:tcPr>
          <w:p w14:paraId="77D38FD5">
            <w:pPr>
              <w:spacing w:line="300" w:lineRule="auto"/>
              <w:jc w:val="center"/>
              <w:rPr>
                <w:rFonts w:ascii="Times New Roman" w:hAnsi="Times New Roman"/>
                <w:color w:val="000000"/>
                <w:szCs w:val="21"/>
              </w:rPr>
            </w:pPr>
          </w:p>
        </w:tc>
        <w:tc>
          <w:tcPr>
            <w:tcW w:w="719" w:type="dxa"/>
          </w:tcPr>
          <w:p w14:paraId="0A41E76D">
            <w:pPr>
              <w:spacing w:line="300" w:lineRule="auto"/>
              <w:jc w:val="center"/>
              <w:rPr>
                <w:rFonts w:ascii="Times New Roman" w:hAnsi="Times New Roman"/>
                <w:color w:val="000000"/>
                <w:szCs w:val="21"/>
              </w:rPr>
            </w:pPr>
          </w:p>
        </w:tc>
        <w:tc>
          <w:tcPr>
            <w:tcW w:w="721" w:type="dxa"/>
          </w:tcPr>
          <w:p w14:paraId="1D57FC9E">
            <w:pPr>
              <w:spacing w:line="300" w:lineRule="auto"/>
              <w:jc w:val="center"/>
              <w:rPr>
                <w:rFonts w:ascii="Times New Roman" w:hAnsi="Times New Roman"/>
                <w:color w:val="000000"/>
                <w:szCs w:val="21"/>
              </w:rPr>
            </w:pPr>
          </w:p>
        </w:tc>
        <w:tc>
          <w:tcPr>
            <w:tcW w:w="719" w:type="dxa"/>
          </w:tcPr>
          <w:p w14:paraId="5382FFD5">
            <w:pPr>
              <w:spacing w:line="300" w:lineRule="auto"/>
              <w:jc w:val="center"/>
              <w:rPr>
                <w:rFonts w:ascii="Times New Roman" w:hAnsi="Times New Roman"/>
                <w:color w:val="000000"/>
                <w:szCs w:val="21"/>
              </w:rPr>
            </w:pPr>
          </w:p>
        </w:tc>
        <w:tc>
          <w:tcPr>
            <w:tcW w:w="2523" w:type="dxa"/>
          </w:tcPr>
          <w:p w14:paraId="639D5E53">
            <w:pPr>
              <w:spacing w:line="300" w:lineRule="auto"/>
              <w:jc w:val="center"/>
              <w:rPr>
                <w:rFonts w:ascii="Times New Roman" w:hAnsi="Times New Roman"/>
                <w:color w:val="000000"/>
                <w:szCs w:val="21"/>
              </w:rPr>
            </w:pPr>
          </w:p>
        </w:tc>
        <w:tc>
          <w:tcPr>
            <w:tcW w:w="672" w:type="dxa"/>
          </w:tcPr>
          <w:p w14:paraId="27388F17">
            <w:pPr>
              <w:spacing w:line="300" w:lineRule="auto"/>
              <w:jc w:val="center"/>
              <w:rPr>
                <w:rFonts w:ascii="Times New Roman" w:hAnsi="Times New Roman"/>
                <w:color w:val="000000"/>
                <w:szCs w:val="21"/>
              </w:rPr>
            </w:pPr>
          </w:p>
        </w:tc>
      </w:tr>
      <w:tr w14:paraId="7509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Pr>
          <w:p w14:paraId="147AA9EF">
            <w:pPr>
              <w:spacing w:line="300" w:lineRule="auto"/>
              <w:jc w:val="center"/>
              <w:rPr>
                <w:rFonts w:ascii="Times New Roman" w:hAnsi="Times New Roman"/>
                <w:color w:val="000000"/>
                <w:szCs w:val="21"/>
              </w:rPr>
            </w:pPr>
          </w:p>
        </w:tc>
        <w:tc>
          <w:tcPr>
            <w:tcW w:w="721" w:type="dxa"/>
          </w:tcPr>
          <w:p w14:paraId="40D5DFB6">
            <w:pPr>
              <w:spacing w:line="300" w:lineRule="auto"/>
              <w:jc w:val="center"/>
              <w:rPr>
                <w:rFonts w:ascii="Times New Roman" w:hAnsi="Times New Roman"/>
                <w:color w:val="000000"/>
                <w:szCs w:val="21"/>
              </w:rPr>
            </w:pPr>
          </w:p>
        </w:tc>
        <w:tc>
          <w:tcPr>
            <w:tcW w:w="719" w:type="dxa"/>
          </w:tcPr>
          <w:p w14:paraId="67F41132">
            <w:pPr>
              <w:spacing w:line="300" w:lineRule="auto"/>
              <w:jc w:val="center"/>
              <w:rPr>
                <w:rFonts w:ascii="Times New Roman" w:hAnsi="Times New Roman"/>
                <w:color w:val="000000"/>
                <w:szCs w:val="21"/>
              </w:rPr>
            </w:pPr>
          </w:p>
        </w:tc>
        <w:tc>
          <w:tcPr>
            <w:tcW w:w="1081" w:type="dxa"/>
          </w:tcPr>
          <w:p w14:paraId="1944A154">
            <w:pPr>
              <w:spacing w:line="300" w:lineRule="auto"/>
              <w:jc w:val="center"/>
              <w:rPr>
                <w:rFonts w:ascii="Times New Roman" w:hAnsi="Times New Roman"/>
                <w:color w:val="000000"/>
                <w:szCs w:val="21"/>
              </w:rPr>
            </w:pPr>
          </w:p>
        </w:tc>
        <w:tc>
          <w:tcPr>
            <w:tcW w:w="719" w:type="dxa"/>
          </w:tcPr>
          <w:p w14:paraId="78EDD826">
            <w:pPr>
              <w:spacing w:line="300" w:lineRule="auto"/>
              <w:jc w:val="center"/>
              <w:rPr>
                <w:rFonts w:ascii="Times New Roman" w:hAnsi="Times New Roman"/>
                <w:color w:val="000000"/>
                <w:szCs w:val="21"/>
              </w:rPr>
            </w:pPr>
          </w:p>
        </w:tc>
        <w:tc>
          <w:tcPr>
            <w:tcW w:w="721" w:type="dxa"/>
          </w:tcPr>
          <w:p w14:paraId="578A1254">
            <w:pPr>
              <w:spacing w:line="300" w:lineRule="auto"/>
              <w:jc w:val="center"/>
              <w:rPr>
                <w:rFonts w:ascii="Times New Roman" w:hAnsi="Times New Roman"/>
                <w:color w:val="000000"/>
                <w:szCs w:val="21"/>
              </w:rPr>
            </w:pPr>
          </w:p>
        </w:tc>
        <w:tc>
          <w:tcPr>
            <w:tcW w:w="719" w:type="dxa"/>
          </w:tcPr>
          <w:p w14:paraId="66EE0957">
            <w:pPr>
              <w:spacing w:line="300" w:lineRule="auto"/>
              <w:jc w:val="center"/>
              <w:rPr>
                <w:rFonts w:ascii="Times New Roman" w:hAnsi="Times New Roman"/>
                <w:color w:val="000000"/>
                <w:szCs w:val="21"/>
              </w:rPr>
            </w:pPr>
          </w:p>
        </w:tc>
        <w:tc>
          <w:tcPr>
            <w:tcW w:w="2523" w:type="dxa"/>
          </w:tcPr>
          <w:p w14:paraId="54E92CDD">
            <w:pPr>
              <w:spacing w:line="300" w:lineRule="auto"/>
              <w:jc w:val="center"/>
              <w:rPr>
                <w:rFonts w:ascii="Times New Roman" w:hAnsi="Times New Roman"/>
                <w:color w:val="000000"/>
                <w:szCs w:val="21"/>
              </w:rPr>
            </w:pPr>
          </w:p>
        </w:tc>
        <w:tc>
          <w:tcPr>
            <w:tcW w:w="672" w:type="dxa"/>
          </w:tcPr>
          <w:p w14:paraId="106B0775">
            <w:pPr>
              <w:spacing w:line="300" w:lineRule="auto"/>
              <w:jc w:val="center"/>
              <w:rPr>
                <w:rFonts w:ascii="Times New Roman" w:hAnsi="Times New Roman"/>
                <w:color w:val="000000"/>
                <w:szCs w:val="21"/>
              </w:rPr>
            </w:pPr>
          </w:p>
        </w:tc>
      </w:tr>
      <w:tr w14:paraId="4DB5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Pr>
          <w:p w14:paraId="16E091CB">
            <w:pPr>
              <w:spacing w:line="300" w:lineRule="auto"/>
              <w:rPr>
                <w:rFonts w:ascii="Times New Roman" w:hAnsi="Times New Roman"/>
                <w:color w:val="000000"/>
                <w:szCs w:val="21"/>
              </w:rPr>
            </w:pPr>
          </w:p>
        </w:tc>
        <w:tc>
          <w:tcPr>
            <w:tcW w:w="721" w:type="dxa"/>
          </w:tcPr>
          <w:p w14:paraId="4045D49D">
            <w:pPr>
              <w:spacing w:line="300" w:lineRule="auto"/>
              <w:jc w:val="center"/>
              <w:rPr>
                <w:rFonts w:ascii="Times New Roman" w:hAnsi="Times New Roman"/>
                <w:color w:val="000000"/>
                <w:szCs w:val="21"/>
              </w:rPr>
            </w:pPr>
          </w:p>
        </w:tc>
        <w:tc>
          <w:tcPr>
            <w:tcW w:w="719" w:type="dxa"/>
          </w:tcPr>
          <w:p w14:paraId="51FA69E5">
            <w:pPr>
              <w:spacing w:line="300" w:lineRule="auto"/>
              <w:jc w:val="center"/>
              <w:rPr>
                <w:rFonts w:ascii="Times New Roman" w:hAnsi="Times New Roman"/>
                <w:color w:val="000000"/>
                <w:szCs w:val="21"/>
              </w:rPr>
            </w:pPr>
          </w:p>
        </w:tc>
        <w:tc>
          <w:tcPr>
            <w:tcW w:w="1081" w:type="dxa"/>
          </w:tcPr>
          <w:p w14:paraId="0EBD4E63">
            <w:pPr>
              <w:spacing w:line="300" w:lineRule="auto"/>
              <w:jc w:val="center"/>
              <w:rPr>
                <w:rFonts w:ascii="Times New Roman" w:hAnsi="Times New Roman"/>
                <w:color w:val="000000"/>
                <w:szCs w:val="21"/>
              </w:rPr>
            </w:pPr>
          </w:p>
        </w:tc>
        <w:tc>
          <w:tcPr>
            <w:tcW w:w="719" w:type="dxa"/>
          </w:tcPr>
          <w:p w14:paraId="0F74D76D">
            <w:pPr>
              <w:spacing w:line="300" w:lineRule="auto"/>
              <w:jc w:val="center"/>
              <w:rPr>
                <w:rFonts w:ascii="Times New Roman" w:hAnsi="Times New Roman"/>
                <w:color w:val="000000"/>
                <w:szCs w:val="21"/>
              </w:rPr>
            </w:pPr>
          </w:p>
        </w:tc>
        <w:tc>
          <w:tcPr>
            <w:tcW w:w="721" w:type="dxa"/>
          </w:tcPr>
          <w:p w14:paraId="10793190">
            <w:pPr>
              <w:spacing w:line="300" w:lineRule="auto"/>
              <w:jc w:val="center"/>
              <w:rPr>
                <w:rFonts w:ascii="Times New Roman" w:hAnsi="Times New Roman"/>
                <w:color w:val="000000"/>
                <w:szCs w:val="21"/>
              </w:rPr>
            </w:pPr>
          </w:p>
        </w:tc>
        <w:tc>
          <w:tcPr>
            <w:tcW w:w="719" w:type="dxa"/>
          </w:tcPr>
          <w:p w14:paraId="146F274C">
            <w:pPr>
              <w:spacing w:line="300" w:lineRule="auto"/>
              <w:jc w:val="center"/>
              <w:rPr>
                <w:rFonts w:ascii="Times New Roman" w:hAnsi="Times New Roman"/>
                <w:color w:val="000000"/>
                <w:szCs w:val="21"/>
              </w:rPr>
            </w:pPr>
          </w:p>
        </w:tc>
        <w:tc>
          <w:tcPr>
            <w:tcW w:w="2523" w:type="dxa"/>
          </w:tcPr>
          <w:p w14:paraId="07435B1D">
            <w:pPr>
              <w:spacing w:line="300" w:lineRule="auto"/>
              <w:jc w:val="center"/>
              <w:rPr>
                <w:rFonts w:ascii="Times New Roman" w:hAnsi="Times New Roman"/>
                <w:color w:val="000000"/>
                <w:szCs w:val="21"/>
              </w:rPr>
            </w:pPr>
          </w:p>
        </w:tc>
        <w:tc>
          <w:tcPr>
            <w:tcW w:w="672" w:type="dxa"/>
          </w:tcPr>
          <w:p w14:paraId="3E0B2C78">
            <w:pPr>
              <w:spacing w:line="300" w:lineRule="auto"/>
              <w:jc w:val="center"/>
              <w:rPr>
                <w:rFonts w:ascii="Times New Roman" w:hAnsi="Times New Roman"/>
                <w:color w:val="000000"/>
                <w:szCs w:val="21"/>
              </w:rPr>
            </w:pPr>
          </w:p>
        </w:tc>
      </w:tr>
    </w:tbl>
    <w:p w14:paraId="53D159C1">
      <w:pPr>
        <w:pStyle w:val="4"/>
        <w:spacing w:before="0" w:after="0" w:line="300" w:lineRule="auto"/>
        <w:ind w:firstLine="103"/>
        <w:rPr>
          <w:bCs w:val="0"/>
          <w:color w:val="000000"/>
          <w:sz w:val="21"/>
          <w:szCs w:val="24"/>
        </w:rPr>
      </w:pPr>
      <w:bookmarkStart w:id="795" w:name="_Toc5603"/>
      <w:bookmarkStart w:id="796" w:name="_Toc13419"/>
      <w:bookmarkStart w:id="797" w:name="_Toc14801"/>
      <w:bookmarkStart w:id="798" w:name="_Toc179632825"/>
      <w:bookmarkStart w:id="799" w:name="_Toc144974873"/>
      <w:bookmarkStart w:id="800" w:name="_Toc152042594"/>
      <w:bookmarkStart w:id="801" w:name="_Toc246996371"/>
      <w:bookmarkStart w:id="802" w:name="_Toc152045805"/>
      <w:bookmarkStart w:id="803" w:name="_Toc296602616"/>
      <w:bookmarkStart w:id="804" w:name="_Toc246997114"/>
      <w:bookmarkStart w:id="805" w:name="_Toc247085889"/>
      <w:r>
        <w:rPr>
          <w:bCs w:val="0"/>
          <w:color w:val="000000"/>
          <w:sz w:val="21"/>
          <w:szCs w:val="24"/>
        </w:rPr>
        <w:t>提供投标单位人员名单及近半年有效社保证明，项目部人员均须在名单中。</w:t>
      </w:r>
      <w:bookmarkEnd w:id="795"/>
      <w:bookmarkEnd w:id="796"/>
      <w:bookmarkEnd w:id="797"/>
    </w:p>
    <w:p w14:paraId="216D19E8">
      <w:pPr>
        <w:pStyle w:val="4"/>
        <w:spacing w:before="0" w:after="0" w:line="300" w:lineRule="auto"/>
        <w:jc w:val="center"/>
        <w:rPr>
          <w:color w:val="000000"/>
        </w:rPr>
      </w:pPr>
      <w:bookmarkStart w:id="806" w:name="_Toc3734"/>
      <w:bookmarkStart w:id="807" w:name="_Toc4122"/>
      <w:bookmarkStart w:id="808" w:name="_Toc15345"/>
      <w:r>
        <w:rPr>
          <w:color w:val="000000"/>
        </w:rPr>
        <w:t>（2）项目经理简历表</w:t>
      </w:r>
      <w:bookmarkEnd w:id="798"/>
      <w:bookmarkEnd w:id="799"/>
      <w:bookmarkEnd w:id="800"/>
      <w:bookmarkEnd w:id="801"/>
      <w:bookmarkEnd w:id="802"/>
      <w:bookmarkEnd w:id="803"/>
      <w:bookmarkEnd w:id="804"/>
      <w:bookmarkEnd w:id="805"/>
      <w:bookmarkEnd w:id="806"/>
      <w:bookmarkEnd w:id="807"/>
      <w:bookmarkEnd w:id="808"/>
    </w:p>
    <w:p w14:paraId="7187961F">
      <w:pPr>
        <w:spacing w:line="300" w:lineRule="auto"/>
        <w:ind w:firstLine="422" w:firstLineChars="200"/>
        <w:rPr>
          <w:rFonts w:ascii="Times New Roman" w:hAnsi="Times New Roman"/>
          <w:b/>
          <w:color w:val="000000"/>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672D2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79970FFB">
            <w:pPr>
              <w:spacing w:line="300" w:lineRule="auto"/>
              <w:jc w:val="center"/>
              <w:rPr>
                <w:rFonts w:ascii="Times New Roman" w:hAnsi="Times New Roman"/>
                <w:color w:val="000000"/>
                <w:szCs w:val="21"/>
              </w:rPr>
            </w:pPr>
            <w:r>
              <w:rPr>
                <w:rFonts w:ascii="Times New Roman" w:hAnsi="Times New Roman"/>
                <w:color w:val="000000"/>
                <w:szCs w:val="21"/>
              </w:rPr>
              <w:t>姓  名</w:t>
            </w:r>
          </w:p>
        </w:tc>
        <w:tc>
          <w:tcPr>
            <w:tcW w:w="1079" w:type="dxa"/>
            <w:gridSpan w:val="2"/>
            <w:vAlign w:val="center"/>
          </w:tcPr>
          <w:p w14:paraId="334CFF9A">
            <w:pPr>
              <w:spacing w:line="300" w:lineRule="auto"/>
              <w:jc w:val="center"/>
              <w:rPr>
                <w:rFonts w:ascii="Times New Roman" w:hAnsi="Times New Roman"/>
                <w:color w:val="000000"/>
                <w:szCs w:val="21"/>
              </w:rPr>
            </w:pPr>
          </w:p>
        </w:tc>
        <w:tc>
          <w:tcPr>
            <w:tcW w:w="927" w:type="dxa"/>
            <w:vAlign w:val="center"/>
          </w:tcPr>
          <w:p w14:paraId="2BF694AF">
            <w:pPr>
              <w:spacing w:line="300" w:lineRule="auto"/>
              <w:jc w:val="center"/>
              <w:rPr>
                <w:rFonts w:ascii="Times New Roman" w:hAnsi="Times New Roman"/>
                <w:color w:val="000000"/>
                <w:szCs w:val="21"/>
              </w:rPr>
            </w:pPr>
            <w:r>
              <w:rPr>
                <w:rFonts w:ascii="Times New Roman" w:hAnsi="Times New Roman"/>
                <w:color w:val="000000"/>
                <w:szCs w:val="21"/>
              </w:rPr>
              <w:t>年 龄</w:t>
            </w:r>
          </w:p>
        </w:tc>
        <w:tc>
          <w:tcPr>
            <w:tcW w:w="1065" w:type="dxa"/>
            <w:vAlign w:val="center"/>
          </w:tcPr>
          <w:p w14:paraId="2DB2B9F8">
            <w:pPr>
              <w:spacing w:line="300" w:lineRule="auto"/>
              <w:jc w:val="center"/>
              <w:rPr>
                <w:rFonts w:ascii="Times New Roman" w:hAnsi="Times New Roman"/>
                <w:color w:val="000000"/>
                <w:szCs w:val="21"/>
              </w:rPr>
            </w:pPr>
          </w:p>
        </w:tc>
        <w:tc>
          <w:tcPr>
            <w:tcW w:w="2130" w:type="dxa"/>
            <w:gridSpan w:val="3"/>
            <w:vAlign w:val="center"/>
          </w:tcPr>
          <w:p w14:paraId="3C952201">
            <w:pPr>
              <w:spacing w:line="300" w:lineRule="auto"/>
              <w:jc w:val="center"/>
              <w:rPr>
                <w:rFonts w:ascii="Times New Roman" w:hAnsi="Times New Roman"/>
                <w:color w:val="000000"/>
                <w:szCs w:val="21"/>
              </w:rPr>
            </w:pPr>
            <w:r>
              <w:rPr>
                <w:rFonts w:ascii="Times New Roman" w:hAnsi="Times New Roman"/>
                <w:color w:val="000000"/>
                <w:szCs w:val="21"/>
              </w:rPr>
              <w:t>学历</w:t>
            </w:r>
          </w:p>
        </w:tc>
        <w:tc>
          <w:tcPr>
            <w:tcW w:w="2135" w:type="dxa"/>
            <w:vAlign w:val="center"/>
          </w:tcPr>
          <w:p w14:paraId="40466212">
            <w:pPr>
              <w:spacing w:line="300" w:lineRule="auto"/>
              <w:rPr>
                <w:rFonts w:ascii="Times New Roman" w:hAnsi="Times New Roman"/>
                <w:color w:val="000000"/>
                <w:szCs w:val="21"/>
              </w:rPr>
            </w:pPr>
          </w:p>
        </w:tc>
      </w:tr>
      <w:tr w14:paraId="5C93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49573239">
            <w:pPr>
              <w:spacing w:line="300" w:lineRule="auto"/>
              <w:jc w:val="center"/>
              <w:rPr>
                <w:rFonts w:ascii="Times New Roman" w:hAnsi="Times New Roman"/>
                <w:color w:val="000000"/>
                <w:szCs w:val="21"/>
              </w:rPr>
            </w:pPr>
            <w:r>
              <w:rPr>
                <w:rFonts w:ascii="Times New Roman" w:hAnsi="Times New Roman"/>
                <w:color w:val="000000"/>
                <w:szCs w:val="21"/>
              </w:rPr>
              <w:t>职  称</w:t>
            </w:r>
          </w:p>
        </w:tc>
        <w:tc>
          <w:tcPr>
            <w:tcW w:w="1079" w:type="dxa"/>
            <w:gridSpan w:val="2"/>
            <w:vAlign w:val="center"/>
          </w:tcPr>
          <w:p w14:paraId="312E83E8">
            <w:pPr>
              <w:spacing w:line="300" w:lineRule="auto"/>
              <w:jc w:val="center"/>
              <w:rPr>
                <w:rFonts w:ascii="Times New Roman" w:hAnsi="Times New Roman"/>
                <w:color w:val="000000"/>
                <w:szCs w:val="21"/>
              </w:rPr>
            </w:pPr>
          </w:p>
        </w:tc>
        <w:tc>
          <w:tcPr>
            <w:tcW w:w="927" w:type="dxa"/>
            <w:vAlign w:val="center"/>
          </w:tcPr>
          <w:p w14:paraId="608734E5">
            <w:pPr>
              <w:spacing w:line="300" w:lineRule="auto"/>
              <w:jc w:val="center"/>
              <w:rPr>
                <w:rFonts w:ascii="Times New Roman" w:hAnsi="Times New Roman"/>
                <w:color w:val="000000"/>
                <w:szCs w:val="21"/>
              </w:rPr>
            </w:pPr>
            <w:r>
              <w:rPr>
                <w:rFonts w:ascii="Times New Roman" w:hAnsi="Times New Roman"/>
                <w:color w:val="000000"/>
                <w:szCs w:val="21"/>
              </w:rPr>
              <w:t>职 务</w:t>
            </w:r>
          </w:p>
        </w:tc>
        <w:tc>
          <w:tcPr>
            <w:tcW w:w="1065" w:type="dxa"/>
            <w:vAlign w:val="center"/>
          </w:tcPr>
          <w:p w14:paraId="3E051852">
            <w:pPr>
              <w:spacing w:line="300" w:lineRule="auto"/>
              <w:jc w:val="center"/>
              <w:rPr>
                <w:rFonts w:ascii="Times New Roman" w:hAnsi="Times New Roman"/>
                <w:color w:val="000000"/>
                <w:szCs w:val="21"/>
              </w:rPr>
            </w:pPr>
          </w:p>
        </w:tc>
        <w:tc>
          <w:tcPr>
            <w:tcW w:w="2130" w:type="dxa"/>
            <w:gridSpan w:val="3"/>
            <w:vAlign w:val="center"/>
          </w:tcPr>
          <w:p w14:paraId="6482E78A">
            <w:pPr>
              <w:spacing w:line="300" w:lineRule="auto"/>
              <w:jc w:val="center"/>
              <w:rPr>
                <w:rFonts w:ascii="Times New Roman" w:hAnsi="Times New Roman"/>
                <w:color w:val="000000"/>
                <w:szCs w:val="21"/>
              </w:rPr>
            </w:pPr>
            <w:r>
              <w:rPr>
                <w:rFonts w:ascii="Times New Roman" w:hAnsi="Times New Roman"/>
                <w:color w:val="000000"/>
                <w:szCs w:val="21"/>
              </w:rPr>
              <w:t>拟在本合同任职</w:t>
            </w:r>
          </w:p>
        </w:tc>
        <w:tc>
          <w:tcPr>
            <w:tcW w:w="2135" w:type="dxa"/>
            <w:vAlign w:val="center"/>
          </w:tcPr>
          <w:p w14:paraId="0CF98C9A">
            <w:pPr>
              <w:spacing w:line="300" w:lineRule="auto"/>
              <w:rPr>
                <w:rFonts w:ascii="Times New Roman" w:hAnsi="Times New Roman"/>
                <w:color w:val="000000"/>
                <w:szCs w:val="21"/>
              </w:rPr>
            </w:pPr>
          </w:p>
        </w:tc>
      </w:tr>
      <w:tr w14:paraId="23BD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266A1DFD">
            <w:pPr>
              <w:spacing w:line="300" w:lineRule="auto"/>
              <w:rPr>
                <w:rFonts w:ascii="Times New Roman" w:hAnsi="Times New Roman"/>
                <w:color w:val="000000"/>
                <w:szCs w:val="21"/>
              </w:rPr>
            </w:pPr>
            <w:r>
              <w:rPr>
                <w:rFonts w:ascii="Times New Roman" w:hAnsi="Times New Roman"/>
                <w:color w:val="000000"/>
                <w:szCs w:val="21"/>
              </w:rPr>
              <w:t>毕业学校</w:t>
            </w:r>
          </w:p>
        </w:tc>
        <w:tc>
          <w:tcPr>
            <w:tcW w:w="7336" w:type="dxa"/>
            <w:gridSpan w:val="8"/>
          </w:tcPr>
          <w:p w14:paraId="500D27CF">
            <w:pPr>
              <w:spacing w:line="300" w:lineRule="auto"/>
              <w:rPr>
                <w:rFonts w:ascii="Times New Roman" w:hAnsi="Times New Roman"/>
                <w:color w:val="000000"/>
                <w:szCs w:val="21"/>
              </w:rPr>
            </w:pPr>
            <w:r>
              <w:rPr>
                <w:rFonts w:ascii="Times New Roman" w:hAnsi="Times New Roman"/>
                <w:color w:val="000000"/>
                <w:szCs w:val="21"/>
              </w:rPr>
              <w:t xml:space="preserve">      年毕业于            学校        专业</w:t>
            </w:r>
          </w:p>
        </w:tc>
      </w:tr>
      <w:tr w14:paraId="32AF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14:paraId="2795A387">
            <w:pPr>
              <w:spacing w:line="300" w:lineRule="auto"/>
              <w:rPr>
                <w:rFonts w:ascii="Times New Roman" w:hAnsi="Times New Roman"/>
                <w:color w:val="000000"/>
                <w:szCs w:val="21"/>
              </w:rPr>
            </w:pPr>
            <w:r>
              <w:rPr>
                <w:rFonts w:ascii="Times New Roman" w:hAnsi="Times New Roman"/>
                <w:color w:val="000000"/>
                <w:szCs w:val="21"/>
              </w:rPr>
              <w:t>主要工作经历</w:t>
            </w:r>
          </w:p>
        </w:tc>
      </w:tr>
      <w:tr w14:paraId="03037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14:paraId="09527689">
            <w:pPr>
              <w:spacing w:line="300" w:lineRule="auto"/>
              <w:rPr>
                <w:rFonts w:ascii="Times New Roman" w:hAnsi="Times New Roman"/>
                <w:color w:val="000000"/>
                <w:szCs w:val="21"/>
              </w:rPr>
            </w:pPr>
            <w:r>
              <w:rPr>
                <w:rFonts w:ascii="Times New Roman" w:hAnsi="Times New Roman"/>
                <w:color w:val="000000"/>
                <w:szCs w:val="21"/>
              </w:rPr>
              <w:t>时  间</w:t>
            </w:r>
          </w:p>
        </w:tc>
        <w:tc>
          <w:tcPr>
            <w:tcW w:w="3420" w:type="dxa"/>
            <w:gridSpan w:val="4"/>
            <w:vAlign w:val="center"/>
          </w:tcPr>
          <w:p w14:paraId="3B9A29E1">
            <w:pPr>
              <w:spacing w:line="300" w:lineRule="auto"/>
              <w:rPr>
                <w:rFonts w:ascii="Times New Roman" w:hAnsi="Times New Roman"/>
                <w:color w:val="000000"/>
                <w:szCs w:val="21"/>
              </w:rPr>
            </w:pPr>
            <w:r>
              <w:rPr>
                <w:rFonts w:ascii="Times New Roman" w:hAnsi="Times New Roman"/>
                <w:color w:val="000000"/>
                <w:szCs w:val="21"/>
              </w:rPr>
              <w:t>参加过的类似项目</w:t>
            </w:r>
          </w:p>
        </w:tc>
        <w:tc>
          <w:tcPr>
            <w:tcW w:w="1261" w:type="dxa"/>
            <w:vAlign w:val="center"/>
          </w:tcPr>
          <w:p w14:paraId="24457ADA">
            <w:pPr>
              <w:spacing w:line="300" w:lineRule="auto"/>
              <w:rPr>
                <w:rFonts w:ascii="Times New Roman" w:hAnsi="Times New Roman"/>
                <w:color w:val="000000"/>
                <w:szCs w:val="21"/>
              </w:rPr>
            </w:pPr>
            <w:r>
              <w:rPr>
                <w:rFonts w:ascii="Times New Roman" w:hAnsi="Times New Roman"/>
                <w:color w:val="000000"/>
                <w:szCs w:val="21"/>
              </w:rPr>
              <w:t>担任职务</w:t>
            </w:r>
          </w:p>
        </w:tc>
        <w:tc>
          <w:tcPr>
            <w:tcW w:w="2296" w:type="dxa"/>
            <w:gridSpan w:val="2"/>
            <w:vAlign w:val="center"/>
          </w:tcPr>
          <w:p w14:paraId="1886B612">
            <w:pPr>
              <w:spacing w:line="300" w:lineRule="auto"/>
              <w:rPr>
                <w:rFonts w:ascii="Times New Roman" w:hAnsi="Times New Roman"/>
                <w:color w:val="000000"/>
                <w:szCs w:val="21"/>
              </w:rPr>
            </w:pPr>
            <w:r>
              <w:rPr>
                <w:rFonts w:ascii="Times New Roman" w:hAnsi="Times New Roman"/>
                <w:color w:val="000000"/>
                <w:szCs w:val="21"/>
              </w:rPr>
              <w:t>发包人及联系电话</w:t>
            </w:r>
          </w:p>
        </w:tc>
      </w:tr>
      <w:tr w14:paraId="3629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3826080D">
            <w:pPr>
              <w:spacing w:line="300" w:lineRule="auto"/>
              <w:rPr>
                <w:rFonts w:ascii="Times New Roman" w:hAnsi="Times New Roman" w:eastAsia="黑体"/>
                <w:color w:val="000000"/>
                <w:szCs w:val="21"/>
              </w:rPr>
            </w:pPr>
          </w:p>
        </w:tc>
        <w:tc>
          <w:tcPr>
            <w:tcW w:w="3420" w:type="dxa"/>
            <w:gridSpan w:val="4"/>
          </w:tcPr>
          <w:p w14:paraId="260F9D90">
            <w:pPr>
              <w:spacing w:line="300" w:lineRule="auto"/>
              <w:rPr>
                <w:rFonts w:ascii="Times New Roman" w:hAnsi="Times New Roman" w:eastAsia="黑体"/>
                <w:color w:val="000000"/>
                <w:szCs w:val="21"/>
              </w:rPr>
            </w:pPr>
          </w:p>
        </w:tc>
        <w:tc>
          <w:tcPr>
            <w:tcW w:w="1261" w:type="dxa"/>
          </w:tcPr>
          <w:p w14:paraId="401C68B1">
            <w:pPr>
              <w:spacing w:line="300" w:lineRule="auto"/>
              <w:rPr>
                <w:rFonts w:ascii="Times New Roman" w:hAnsi="Times New Roman" w:eastAsia="黑体"/>
                <w:color w:val="000000"/>
                <w:szCs w:val="21"/>
              </w:rPr>
            </w:pPr>
          </w:p>
        </w:tc>
        <w:tc>
          <w:tcPr>
            <w:tcW w:w="2296" w:type="dxa"/>
            <w:gridSpan w:val="2"/>
          </w:tcPr>
          <w:p w14:paraId="1CE91DCD">
            <w:pPr>
              <w:spacing w:line="300" w:lineRule="auto"/>
              <w:rPr>
                <w:rFonts w:ascii="Times New Roman" w:hAnsi="Times New Roman" w:eastAsia="黑体"/>
                <w:color w:val="000000"/>
                <w:szCs w:val="21"/>
              </w:rPr>
            </w:pPr>
          </w:p>
        </w:tc>
      </w:tr>
      <w:tr w14:paraId="20B9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606E903A">
            <w:pPr>
              <w:spacing w:line="300" w:lineRule="auto"/>
              <w:rPr>
                <w:rFonts w:ascii="Times New Roman" w:hAnsi="Times New Roman" w:eastAsia="黑体"/>
                <w:color w:val="000000"/>
                <w:szCs w:val="21"/>
              </w:rPr>
            </w:pPr>
          </w:p>
        </w:tc>
        <w:tc>
          <w:tcPr>
            <w:tcW w:w="3420" w:type="dxa"/>
            <w:gridSpan w:val="4"/>
          </w:tcPr>
          <w:p w14:paraId="0C9FE853">
            <w:pPr>
              <w:spacing w:line="300" w:lineRule="auto"/>
              <w:rPr>
                <w:rFonts w:ascii="Times New Roman" w:hAnsi="Times New Roman" w:eastAsia="黑体"/>
                <w:color w:val="000000"/>
                <w:szCs w:val="21"/>
              </w:rPr>
            </w:pPr>
          </w:p>
        </w:tc>
        <w:tc>
          <w:tcPr>
            <w:tcW w:w="1261" w:type="dxa"/>
          </w:tcPr>
          <w:p w14:paraId="6DA0772A">
            <w:pPr>
              <w:spacing w:line="300" w:lineRule="auto"/>
              <w:rPr>
                <w:rFonts w:ascii="Times New Roman" w:hAnsi="Times New Roman" w:eastAsia="黑体"/>
                <w:color w:val="000000"/>
                <w:szCs w:val="21"/>
              </w:rPr>
            </w:pPr>
          </w:p>
        </w:tc>
        <w:tc>
          <w:tcPr>
            <w:tcW w:w="2296" w:type="dxa"/>
            <w:gridSpan w:val="2"/>
          </w:tcPr>
          <w:p w14:paraId="40087D3F">
            <w:pPr>
              <w:spacing w:line="300" w:lineRule="auto"/>
              <w:rPr>
                <w:rFonts w:ascii="Times New Roman" w:hAnsi="Times New Roman" w:eastAsia="黑体"/>
                <w:color w:val="000000"/>
                <w:szCs w:val="21"/>
              </w:rPr>
            </w:pPr>
          </w:p>
        </w:tc>
      </w:tr>
      <w:tr w14:paraId="1A3D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0C005CF9">
            <w:pPr>
              <w:spacing w:line="300" w:lineRule="auto"/>
              <w:rPr>
                <w:rFonts w:ascii="Times New Roman" w:hAnsi="Times New Roman" w:eastAsia="黑体"/>
                <w:color w:val="000000"/>
                <w:szCs w:val="21"/>
              </w:rPr>
            </w:pPr>
          </w:p>
        </w:tc>
        <w:tc>
          <w:tcPr>
            <w:tcW w:w="3420" w:type="dxa"/>
            <w:gridSpan w:val="4"/>
          </w:tcPr>
          <w:p w14:paraId="04FB82F8">
            <w:pPr>
              <w:spacing w:line="300" w:lineRule="auto"/>
              <w:rPr>
                <w:rFonts w:ascii="Times New Roman" w:hAnsi="Times New Roman" w:eastAsia="黑体"/>
                <w:color w:val="000000"/>
                <w:szCs w:val="21"/>
              </w:rPr>
            </w:pPr>
          </w:p>
        </w:tc>
        <w:tc>
          <w:tcPr>
            <w:tcW w:w="1261" w:type="dxa"/>
          </w:tcPr>
          <w:p w14:paraId="3FDC14A6">
            <w:pPr>
              <w:spacing w:line="300" w:lineRule="auto"/>
              <w:rPr>
                <w:rFonts w:ascii="Times New Roman" w:hAnsi="Times New Roman" w:eastAsia="黑体"/>
                <w:color w:val="000000"/>
                <w:szCs w:val="21"/>
              </w:rPr>
            </w:pPr>
          </w:p>
        </w:tc>
        <w:tc>
          <w:tcPr>
            <w:tcW w:w="2296" w:type="dxa"/>
            <w:gridSpan w:val="2"/>
          </w:tcPr>
          <w:p w14:paraId="7910F2C0">
            <w:pPr>
              <w:spacing w:line="300" w:lineRule="auto"/>
              <w:rPr>
                <w:rFonts w:ascii="Times New Roman" w:hAnsi="Times New Roman" w:eastAsia="黑体"/>
                <w:color w:val="000000"/>
                <w:szCs w:val="21"/>
              </w:rPr>
            </w:pPr>
          </w:p>
        </w:tc>
      </w:tr>
      <w:tr w14:paraId="4B22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4C9989B1">
            <w:pPr>
              <w:spacing w:line="300" w:lineRule="auto"/>
              <w:rPr>
                <w:rFonts w:ascii="Times New Roman" w:hAnsi="Times New Roman" w:eastAsia="黑体"/>
                <w:color w:val="000000"/>
                <w:szCs w:val="21"/>
              </w:rPr>
            </w:pPr>
            <w:r>
              <w:rPr>
                <w:rFonts w:ascii="Times New Roman" w:hAnsi="Times New Roman" w:eastAsia="黑体"/>
                <w:color w:val="000000"/>
                <w:szCs w:val="21"/>
              </w:rPr>
              <w:t>……</w:t>
            </w:r>
          </w:p>
        </w:tc>
        <w:tc>
          <w:tcPr>
            <w:tcW w:w="3420" w:type="dxa"/>
            <w:gridSpan w:val="4"/>
          </w:tcPr>
          <w:p w14:paraId="39443B3F">
            <w:pPr>
              <w:spacing w:line="300" w:lineRule="auto"/>
              <w:rPr>
                <w:rFonts w:ascii="Times New Roman" w:hAnsi="Times New Roman" w:eastAsia="黑体"/>
                <w:color w:val="000000"/>
                <w:szCs w:val="21"/>
              </w:rPr>
            </w:pPr>
          </w:p>
        </w:tc>
        <w:tc>
          <w:tcPr>
            <w:tcW w:w="1261" w:type="dxa"/>
          </w:tcPr>
          <w:p w14:paraId="09A1A19A">
            <w:pPr>
              <w:spacing w:line="300" w:lineRule="auto"/>
              <w:rPr>
                <w:rFonts w:ascii="Times New Roman" w:hAnsi="Times New Roman" w:eastAsia="黑体"/>
                <w:color w:val="000000"/>
                <w:szCs w:val="21"/>
              </w:rPr>
            </w:pPr>
          </w:p>
        </w:tc>
        <w:tc>
          <w:tcPr>
            <w:tcW w:w="2296" w:type="dxa"/>
            <w:gridSpan w:val="2"/>
          </w:tcPr>
          <w:p w14:paraId="18C14FE3">
            <w:pPr>
              <w:spacing w:line="300" w:lineRule="auto"/>
              <w:rPr>
                <w:rFonts w:ascii="Times New Roman" w:hAnsi="Times New Roman" w:eastAsia="黑体"/>
                <w:color w:val="000000"/>
                <w:szCs w:val="21"/>
              </w:rPr>
            </w:pPr>
          </w:p>
        </w:tc>
      </w:tr>
    </w:tbl>
    <w:p w14:paraId="05C04AF2">
      <w:pPr>
        <w:widowControl/>
        <w:ind w:firstLine="420" w:firstLineChars="200"/>
        <w:jc w:val="left"/>
        <w:rPr>
          <w:rFonts w:ascii="宋体" w:hAnsi="宋体" w:eastAsia="宋体" w:cs="宋体"/>
          <w:color w:val="000000"/>
          <w:kern w:val="0"/>
          <w:szCs w:val="21"/>
        </w:rPr>
      </w:pPr>
      <w:bookmarkStart w:id="809" w:name="_Toc296602617"/>
      <w:bookmarkStart w:id="810" w:name="_Toc246997115"/>
      <w:bookmarkStart w:id="811" w:name="_Toc247085890"/>
      <w:bookmarkStart w:id="812" w:name="_Toc152045807"/>
      <w:bookmarkStart w:id="813" w:name="_Toc144974875"/>
      <w:bookmarkStart w:id="814" w:name="_Toc179632827"/>
      <w:bookmarkStart w:id="815" w:name="_Toc152042596"/>
      <w:bookmarkStart w:id="816" w:name="_Toc246996372"/>
      <w:r>
        <w:rPr>
          <w:rFonts w:hint="eastAsia" w:ascii="宋体" w:hAnsi="宋体" w:eastAsia="宋体" w:cs="宋体"/>
          <w:color w:val="000000"/>
          <w:kern w:val="0"/>
          <w:szCs w:val="21"/>
        </w:rPr>
        <w:t xml:space="preserve">项目经理应附建造师执业注册证书、安全生产考核合格证书、身份证、职称证、最近 3 个月 </w:t>
      </w:r>
    </w:p>
    <w:p w14:paraId="3D07E0BC">
      <w:pPr>
        <w:widowControl/>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养老保险复印件及未担任其他在施建设工程项目项目经理的承诺书，管理过的项目业绩须附 </w:t>
      </w:r>
    </w:p>
    <w:p w14:paraId="72455653">
      <w:pPr>
        <w:widowControl/>
        <w:ind w:firstLine="420" w:firstLineChars="200"/>
        <w:jc w:val="left"/>
        <w:rPr>
          <w:color w:val="000000"/>
        </w:rPr>
      </w:pPr>
      <w:r>
        <w:rPr>
          <w:rFonts w:hint="eastAsia" w:ascii="宋体" w:hAnsi="宋体" w:eastAsia="宋体" w:cs="宋体"/>
          <w:color w:val="000000"/>
          <w:kern w:val="0"/>
          <w:szCs w:val="21"/>
        </w:rPr>
        <w:t>合同协议书和竣工验收证明复印件。类似项目限于以项目经理身份参与的项目。</w:t>
      </w:r>
    </w:p>
    <w:p w14:paraId="690D99AC">
      <w:pPr>
        <w:pStyle w:val="4"/>
        <w:numPr>
          <w:ilvl w:val="0"/>
          <w:numId w:val="10"/>
        </w:numPr>
        <w:spacing w:before="0" w:after="0" w:line="300" w:lineRule="auto"/>
        <w:jc w:val="center"/>
        <w:rPr>
          <w:color w:val="000000"/>
        </w:rPr>
      </w:pPr>
      <w:bookmarkStart w:id="817" w:name="_Toc4270"/>
      <w:bookmarkStart w:id="818" w:name="_Toc28731"/>
      <w:bookmarkStart w:id="819" w:name="_Toc17653"/>
      <w:r>
        <w:rPr>
          <w:color w:val="000000"/>
        </w:rPr>
        <w:t>项目主要管理人员简历表</w:t>
      </w:r>
      <w:bookmarkEnd w:id="817"/>
      <w:bookmarkEnd w:id="818"/>
      <w:bookmarkEnd w:id="819"/>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7F8B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49CD4E80">
            <w:pPr>
              <w:spacing w:line="300" w:lineRule="auto"/>
              <w:jc w:val="center"/>
              <w:rPr>
                <w:rFonts w:ascii="Times New Roman" w:hAnsi="Times New Roman"/>
                <w:color w:val="000000"/>
                <w:szCs w:val="21"/>
              </w:rPr>
            </w:pPr>
            <w:r>
              <w:rPr>
                <w:rFonts w:ascii="Times New Roman" w:hAnsi="Times New Roman"/>
                <w:color w:val="000000"/>
                <w:szCs w:val="21"/>
              </w:rPr>
              <w:t>姓  名</w:t>
            </w:r>
          </w:p>
        </w:tc>
        <w:tc>
          <w:tcPr>
            <w:tcW w:w="1079" w:type="dxa"/>
            <w:gridSpan w:val="2"/>
            <w:vAlign w:val="center"/>
          </w:tcPr>
          <w:p w14:paraId="6449575E">
            <w:pPr>
              <w:spacing w:line="300" w:lineRule="auto"/>
              <w:jc w:val="center"/>
              <w:rPr>
                <w:rFonts w:ascii="Times New Roman" w:hAnsi="Times New Roman"/>
                <w:color w:val="000000"/>
                <w:szCs w:val="21"/>
              </w:rPr>
            </w:pPr>
          </w:p>
        </w:tc>
        <w:tc>
          <w:tcPr>
            <w:tcW w:w="927" w:type="dxa"/>
            <w:vAlign w:val="center"/>
          </w:tcPr>
          <w:p w14:paraId="6CA9AD4D">
            <w:pPr>
              <w:spacing w:line="300" w:lineRule="auto"/>
              <w:jc w:val="center"/>
              <w:rPr>
                <w:rFonts w:ascii="Times New Roman" w:hAnsi="Times New Roman"/>
                <w:color w:val="000000"/>
                <w:szCs w:val="21"/>
              </w:rPr>
            </w:pPr>
            <w:r>
              <w:rPr>
                <w:rFonts w:ascii="Times New Roman" w:hAnsi="Times New Roman"/>
                <w:color w:val="000000"/>
                <w:szCs w:val="21"/>
              </w:rPr>
              <w:t>年 龄</w:t>
            </w:r>
          </w:p>
        </w:tc>
        <w:tc>
          <w:tcPr>
            <w:tcW w:w="1065" w:type="dxa"/>
            <w:vAlign w:val="center"/>
          </w:tcPr>
          <w:p w14:paraId="446A625A">
            <w:pPr>
              <w:spacing w:line="300" w:lineRule="auto"/>
              <w:jc w:val="center"/>
              <w:rPr>
                <w:rFonts w:ascii="Times New Roman" w:hAnsi="Times New Roman"/>
                <w:color w:val="000000"/>
                <w:szCs w:val="21"/>
              </w:rPr>
            </w:pPr>
          </w:p>
        </w:tc>
        <w:tc>
          <w:tcPr>
            <w:tcW w:w="2130" w:type="dxa"/>
            <w:gridSpan w:val="3"/>
            <w:vAlign w:val="center"/>
          </w:tcPr>
          <w:p w14:paraId="404BE871">
            <w:pPr>
              <w:spacing w:line="300" w:lineRule="auto"/>
              <w:jc w:val="center"/>
              <w:rPr>
                <w:rFonts w:ascii="Times New Roman" w:hAnsi="Times New Roman"/>
                <w:color w:val="000000"/>
                <w:szCs w:val="21"/>
              </w:rPr>
            </w:pPr>
            <w:r>
              <w:rPr>
                <w:rFonts w:ascii="Times New Roman" w:hAnsi="Times New Roman"/>
                <w:color w:val="000000"/>
                <w:szCs w:val="21"/>
              </w:rPr>
              <w:t>学历</w:t>
            </w:r>
          </w:p>
        </w:tc>
        <w:tc>
          <w:tcPr>
            <w:tcW w:w="2135" w:type="dxa"/>
            <w:vAlign w:val="center"/>
          </w:tcPr>
          <w:p w14:paraId="3B211769">
            <w:pPr>
              <w:spacing w:line="300" w:lineRule="auto"/>
              <w:rPr>
                <w:rFonts w:ascii="Times New Roman" w:hAnsi="Times New Roman"/>
                <w:color w:val="000000"/>
                <w:szCs w:val="21"/>
              </w:rPr>
            </w:pPr>
          </w:p>
        </w:tc>
      </w:tr>
      <w:tr w14:paraId="46EC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344D2061">
            <w:pPr>
              <w:spacing w:line="300" w:lineRule="auto"/>
              <w:jc w:val="center"/>
              <w:rPr>
                <w:rFonts w:ascii="Times New Roman" w:hAnsi="Times New Roman"/>
                <w:color w:val="000000"/>
                <w:szCs w:val="21"/>
              </w:rPr>
            </w:pPr>
            <w:r>
              <w:rPr>
                <w:rFonts w:ascii="Times New Roman" w:hAnsi="Times New Roman"/>
                <w:color w:val="000000"/>
                <w:szCs w:val="21"/>
              </w:rPr>
              <w:t>职  称</w:t>
            </w:r>
          </w:p>
        </w:tc>
        <w:tc>
          <w:tcPr>
            <w:tcW w:w="1079" w:type="dxa"/>
            <w:gridSpan w:val="2"/>
            <w:vAlign w:val="center"/>
          </w:tcPr>
          <w:p w14:paraId="0DDFF1B3">
            <w:pPr>
              <w:spacing w:line="300" w:lineRule="auto"/>
              <w:jc w:val="center"/>
              <w:rPr>
                <w:rFonts w:ascii="Times New Roman" w:hAnsi="Times New Roman"/>
                <w:color w:val="000000"/>
                <w:szCs w:val="21"/>
              </w:rPr>
            </w:pPr>
          </w:p>
        </w:tc>
        <w:tc>
          <w:tcPr>
            <w:tcW w:w="927" w:type="dxa"/>
            <w:vAlign w:val="center"/>
          </w:tcPr>
          <w:p w14:paraId="634805F0">
            <w:pPr>
              <w:spacing w:line="300" w:lineRule="auto"/>
              <w:jc w:val="center"/>
              <w:rPr>
                <w:rFonts w:ascii="Times New Roman" w:hAnsi="Times New Roman"/>
                <w:color w:val="000000"/>
                <w:szCs w:val="21"/>
              </w:rPr>
            </w:pPr>
            <w:r>
              <w:rPr>
                <w:rFonts w:ascii="Times New Roman" w:hAnsi="Times New Roman"/>
                <w:color w:val="000000"/>
                <w:szCs w:val="21"/>
              </w:rPr>
              <w:t>职 务</w:t>
            </w:r>
          </w:p>
        </w:tc>
        <w:tc>
          <w:tcPr>
            <w:tcW w:w="1065" w:type="dxa"/>
            <w:vAlign w:val="center"/>
          </w:tcPr>
          <w:p w14:paraId="5D18C4F1">
            <w:pPr>
              <w:spacing w:line="300" w:lineRule="auto"/>
              <w:jc w:val="center"/>
              <w:rPr>
                <w:rFonts w:ascii="Times New Roman" w:hAnsi="Times New Roman"/>
                <w:color w:val="000000"/>
                <w:szCs w:val="21"/>
              </w:rPr>
            </w:pPr>
          </w:p>
        </w:tc>
        <w:tc>
          <w:tcPr>
            <w:tcW w:w="2130" w:type="dxa"/>
            <w:gridSpan w:val="3"/>
            <w:vAlign w:val="center"/>
          </w:tcPr>
          <w:p w14:paraId="1A483BF4">
            <w:pPr>
              <w:spacing w:line="300" w:lineRule="auto"/>
              <w:jc w:val="center"/>
              <w:rPr>
                <w:rFonts w:ascii="Times New Roman" w:hAnsi="Times New Roman"/>
                <w:color w:val="000000"/>
                <w:szCs w:val="21"/>
              </w:rPr>
            </w:pPr>
            <w:r>
              <w:rPr>
                <w:rFonts w:ascii="Times New Roman" w:hAnsi="Times New Roman"/>
                <w:color w:val="000000"/>
                <w:szCs w:val="21"/>
              </w:rPr>
              <w:t>拟在本合同任职</w:t>
            </w:r>
          </w:p>
        </w:tc>
        <w:tc>
          <w:tcPr>
            <w:tcW w:w="2135" w:type="dxa"/>
            <w:vAlign w:val="center"/>
          </w:tcPr>
          <w:p w14:paraId="6030B06B">
            <w:pPr>
              <w:spacing w:line="300" w:lineRule="auto"/>
              <w:rPr>
                <w:rFonts w:ascii="Times New Roman" w:hAnsi="Times New Roman"/>
                <w:color w:val="000000"/>
                <w:szCs w:val="21"/>
              </w:rPr>
            </w:pPr>
          </w:p>
        </w:tc>
      </w:tr>
      <w:tr w14:paraId="1449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07C9715E">
            <w:pPr>
              <w:spacing w:line="300" w:lineRule="auto"/>
              <w:rPr>
                <w:rFonts w:ascii="Times New Roman" w:hAnsi="Times New Roman"/>
                <w:color w:val="000000"/>
                <w:szCs w:val="21"/>
              </w:rPr>
            </w:pPr>
            <w:r>
              <w:rPr>
                <w:rFonts w:ascii="Times New Roman" w:hAnsi="Times New Roman"/>
                <w:color w:val="000000"/>
                <w:szCs w:val="21"/>
              </w:rPr>
              <w:t>毕业学校</w:t>
            </w:r>
          </w:p>
        </w:tc>
        <w:tc>
          <w:tcPr>
            <w:tcW w:w="7336" w:type="dxa"/>
            <w:gridSpan w:val="8"/>
          </w:tcPr>
          <w:p w14:paraId="560EE3E3">
            <w:pPr>
              <w:spacing w:line="300" w:lineRule="auto"/>
              <w:rPr>
                <w:rFonts w:ascii="Times New Roman" w:hAnsi="Times New Roman"/>
                <w:color w:val="000000"/>
                <w:szCs w:val="21"/>
              </w:rPr>
            </w:pPr>
            <w:r>
              <w:rPr>
                <w:rFonts w:ascii="Times New Roman" w:hAnsi="Times New Roman"/>
                <w:color w:val="000000"/>
                <w:szCs w:val="21"/>
              </w:rPr>
              <w:t xml:space="preserve">      年毕业于            学校        专业</w:t>
            </w:r>
          </w:p>
        </w:tc>
      </w:tr>
      <w:tr w14:paraId="49C7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14:paraId="5BFE6725">
            <w:pPr>
              <w:spacing w:line="300" w:lineRule="auto"/>
              <w:rPr>
                <w:rFonts w:ascii="Times New Roman" w:hAnsi="Times New Roman"/>
                <w:color w:val="000000"/>
                <w:szCs w:val="21"/>
              </w:rPr>
            </w:pPr>
            <w:r>
              <w:rPr>
                <w:rFonts w:ascii="Times New Roman" w:hAnsi="Times New Roman"/>
                <w:color w:val="000000"/>
                <w:szCs w:val="21"/>
              </w:rPr>
              <w:t>主要工作经历</w:t>
            </w:r>
          </w:p>
        </w:tc>
      </w:tr>
      <w:tr w14:paraId="6857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14:paraId="1400CFA3">
            <w:pPr>
              <w:spacing w:line="300" w:lineRule="auto"/>
              <w:rPr>
                <w:rFonts w:ascii="Times New Roman" w:hAnsi="Times New Roman"/>
                <w:color w:val="000000"/>
                <w:szCs w:val="21"/>
              </w:rPr>
            </w:pPr>
            <w:r>
              <w:rPr>
                <w:rFonts w:ascii="Times New Roman" w:hAnsi="Times New Roman"/>
                <w:color w:val="000000"/>
                <w:szCs w:val="21"/>
              </w:rPr>
              <w:t>时  间</w:t>
            </w:r>
          </w:p>
        </w:tc>
        <w:tc>
          <w:tcPr>
            <w:tcW w:w="3420" w:type="dxa"/>
            <w:gridSpan w:val="4"/>
            <w:vAlign w:val="center"/>
          </w:tcPr>
          <w:p w14:paraId="7E2A6991">
            <w:pPr>
              <w:spacing w:line="300" w:lineRule="auto"/>
              <w:rPr>
                <w:rFonts w:ascii="Times New Roman" w:hAnsi="Times New Roman"/>
                <w:color w:val="000000"/>
                <w:szCs w:val="21"/>
              </w:rPr>
            </w:pPr>
            <w:r>
              <w:rPr>
                <w:rFonts w:ascii="Times New Roman" w:hAnsi="Times New Roman"/>
                <w:color w:val="000000"/>
                <w:szCs w:val="21"/>
              </w:rPr>
              <w:t>参加过的类似项目</w:t>
            </w:r>
          </w:p>
        </w:tc>
        <w:tc>
          <w:tcPr>
            <w:tcW w:w="1261" w:type="dxa"/>
            <w:vAlign w:val="center"/>
          </w:tcPr>
          <w:p w14:paraId="3C20D936">
            <w:pPr>
              <w:spacing w:line="300" w:lineRule="auto"/>
              <w:rPr>
                <w:rFonts w:ascii="Times New Roman" w:hAnsi="Times New Roman"/>
                <w:color w:val="000000"/>
                <w:szCs w:val="21"/>
              </w:rPr>
            </w:pPr>
            <w:r>
              <w:rPr>
                <w:rFonts w:ascii="Times New Roman" w:hAnsi="Times New Roman"/>
                <w:color w:val="000000"/>
                <w:szCs w:val="21"/>
              </w:rPr>
              <w:t>担任职务</w:t>
            </w:r>
          </w:p>
        </w:tc>
        <w:tc>
          <w:tcPr>
            <w:tcW w:w="2296" w:type="dxa"/>
            <w:gridSpan w:val="2"/>
            <w:vAlign w:val="center"/>
          </w:tcPr>
          <w:p w14:paraId="5339B812">
            <w:pPr>
              <w:spacing w:line="300" w:lineRule="auto"/>
              <w:rPr>
                <w:rFonts w:ascii="Times New Roman" w:hAnsi="Times New Roman"/>
                <w:color w:val="000000"/>
                <w:szCs w:val="21"/>
              </w:rPr>
            </w:pPr>
            <w:r>
              <w:rPr>
                <w:rFonts w:ascii="Times New Roman" w:hAnsi="Times New Roman"/>
                <w:color w:val="000000"/>
                <w:szCs w:val="21"/>
              </w:rPr>
              <w:t>发包人及联系电话</w:t>
            </w:r>
          </w:p>
        </w:tc>
      </w:tr>
      <w:tr w14:paraId="44EF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7B3154BA">
            <w:pPr>
              <w:spacing w:line="300" w:lineRule="auto"/>
              <w:rPr>
                <w:rFonts w:ascii="Times New Roman" w:hAnsi="Times New Roman" w:eastAsia="黑体"/>
                <w:color w:val="000000"/>
                <w:szCs w:val="21"/>
              </w:rPr>
            </w:pPr>
          </w:p>
        </w:tc>
        <w:tc>
          <w:tcPr>
            <w:tcW w:w="3420" w:type="dxa"/>
            <w:gridSpan w:val="4"/>
          </w:tcPr>
          <w:p w14:paraId="2E8C5CF5">
            <w:pPr>
              <w:spacing w:line="300" w:lineRule="auto"/>
              <w:rPr>
                <w:rFonts w:ascii="Times New Roman" w:hAnsi="Times New Roman" w:eastAsia="黑体"/>
                <w:color w:val="000000"/>
                <w:szCs w:val="21"/>
              </w:rPr>
            </w:pPr>
          </w:p>
        </w:tc>
        <w:tc>
          <w:tcPr>
            <w:tcW w:w="1261" w:type="dxa"/>
          </w:tcPr>
          <w:p w14:paraId="59D6E05E">
            <w:pPr>
              <w:spacing w:line="300" w:lineRule="auto"/>
              <w:rPr>
                <w:rFonts w:ascii="Times New Roman" w:hAnsi="Times New Roman" w:eastAsia="黑体"/>
                <w:color w:val="000000"/>
                <w:szCs w:val="21"/>
              </w:rPr>
            </w:pPr>
          </w:p>
        </w:tc>
        <w:tc>
          <w:tcPr>
            <w:tcW w:w="2296" w:type="dxa"/>
            <w:gridSpan w:val="2"/>
          </w:tcPr>
          <w:p w14:paraId="236A6D49">
            <w:pPr>
              <w:spacing w:line="300" w:lineRule="auto"/>
              <w:rPr>
                <w:rFonts w:ascii="Times New Roman" w:hAnsi="Times New Roman" w:eastAsia="黑体"/>
                <w:color w:val="000000"/>
                <w:szCs w:val="21"/>
              </w:rPr>
            </w:pPr>
          </w:p>
        </w:tc>
      </w:tr>
      <w:tr w14:paraId="2954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2DA9DEC5">
            <w:pPr>
              <w:spacing w:line="300" w:lineRule="auto"/>
              <w:rPr>
                <w:rFonts w:ascii="Times New Roman" w:hAnsi="Times New Roman" w:eastAsia="黑体"/>
                <w:color w:val="000000"/>
                <w:szCs w:val="21"/>
              </w:rPr>
            </w:pPr>
          </w:p>
        </w:tc>
        <w:tc>
          <w:tcPr>
            <w:tcW w:w="3420" w:type="dxa"/>
            <w:gridSpan w:val="4"/>
          </w:tcPr>
          <w:p w14:paraId="68D3F2D2">
            <w:pPr>
              <w:spacing w:line="300" w:lineRule="auto"/>
              <w:rPr>
                <w:rFonts w:ascii="Times New Roman" w:hAnsi="Times New Roman" w:eastAsia="黑体"/>
                <w:color w:val="000000"/>
                <w:szCs w:val="21"/>
              </w:rPr>
            </w:pPr>
          </w:p>
        </w:tc>
        <w:tc>
          <w:tcPr>
            <w:tcW w:w="1261" w:type="dxa"/>
          </w:tcPr>
          <w:p w14:paraId="26175887">
            <w:pPr>
              <w:spacing w:line="300" w:lineRule="auto"/>
              <w:rPr>
                <w:rFonts w:ascii="Times New Roman" w:hAnsi="Times New Roman" w:eastAsia="黑体"/>
                <w:color w:val="000000"/>
                <w:szCs w:val="21"/>
              </w:rPr>
            </w:pPr>
          </w:p>
        </w:tc>
        <w:tc>
          <w:tcPr>
            <w:tcW w:w="2296" w:type="dxa"/>
            <w:gridSpan w:val="2"/>
          </w:tcPr>
          <w:p w14:paraId="68ABFEA5">
            <w:pPr>
              <w:spacing w:line="300" w:lineRule="auto"/>
              <w:rPr>
                <w:rFonts w:ascii="Times New Roman" w:hAnsi="Times New Roman" w:eastAsia="黑体"/>
                <w:color w:val="000000"/>
                <w:szCs w:val="21"/>
              </w:rPr>
            </w:pPr>
          </w:p>
        </w:tc>
      </w:tr>
      <w:tr w14:paraId="1F1B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38C8ED18">
            <w:pPr>
              <w:spacing w:line="300" w:lineRule="auto"/>
              <w:rPr>
                <w:rFonts w:ascii="Times New Roman" w:hAnsi="Times New Roman" w:eastAsia="黑体"/>
                <w:color w:val="000000"/>
                <w:szCs w:val="21"/>
              </w:rPr>
            </w:pPr>
          </w:p>
        </w:tc>
        <w:tc>
          <w:tcPr>
            <w:tcW w:w="3420" w:type="dxa"/>
            <w:gridSpan w:val="4"/>
          </w:tcPr>
          <w:p w14:paraId="0F3C857E">
            <w:pPr>
              <w:spacing w:line="300" w:lineRule="auto"/>
              <w:rPr>
                <w:rFonts w:ascii="Times New Roman" w:hAnsi="Times New Roman" w:eastAsia="黑体"/>
                <w:color w:val="000000"/>
                <w:szCs w:val="21"/>
              </w:rPr>
            </w:pPr>
          </w:p>
        </w:tc>
        <w:tc>
          <w:tcPr>
            <w:tcW w:w="1261" w:type="dxa"/>
          </w:tcPr>
          <w:p w14:paraId="1FD9E919">
            <w:pPr>
              <w:spacing w:line="300" w:lineRule="auto"/>
              <w:rPr>
                <w:rFonts w:ascii="Times New Roman" w:hAnsi="Times New Roman" w:eastAsia="黑体"/>
                <w:color w:val="000000"/>
                <w:szCs w:val="21"/>
              </w:rPr>
            </w:pPr>
          </w:p>
        </w:tc>
        <w:tc>
          <w:tcPr>
            <w:tcW w:w="2296" w:type="dxa"/>
            <w:gridSpan w:val="2"/>
          </w:tcPr>
          <w:p w14:paraId="05D03203">
            <w:pPr>
              <w:spacing w:line="300" w:lineRule="auto"/>
              <w:rPr>
                <w:rFonts w:ascii="Times New Roman" w:hAnsi="Times New Roman" w:eastAsia="黑体"/>
                <w:color w:val="000000"/>
                <w:szCs w:val="21"/>
              </w:rPr>
            </w:pPr>
          </w:p>
        </w:tc>
      </w:tr>
    </w:tbl>
    <w:p w14:paraId="5DDB0CC6">
      <w:pPr>
        <w:widowControl/>
        <w:ind w:firstLine="420" w:firstLineChars="200"/>
        <w:jc w:val="left"/>
      </w:pPr>
      <w:r>
        <w:rPr>
          <w:rFonts w:hint="eastAsia" w:ascii="宋体" w:hAnsi="宋体" w:eastAsia="宋体" w:cs="宋体"/>
          <w:color w:val="000000"/>
          <w:kern w:val="0"/>
          <w:szCs w:val="21"/>
        </w:rPr>
        <w:t xml:space="preserve">主要项目管理人员指技术负责人、专职施工员、安全员（C 证）等岗位人员。应附岗位证书、身份证、相关部门开具的近 3 个月养老保险证明资料复印件，专职安全员应附安全生产考核合格证书（C 证），主要业绩须 </w:t>
      </w:r>
    </w:p>
    <w:p w14:paraId="3785EA3D">
      <w:pPr>
        <w:widowControl/>
        <w:ind w:firstLine="420" w:firstLineChars="200"/>
        <w:jc w:val="left"/>
      </w:pPr>
      <w:r>
        <w:rPr>
          <w:rFonts w:hint="eastAsia" w:ascii="宋体" w:hAnsi="宋体" w:eastAsia="宋体" w:cs="宋体"/>
          <w:color w:val="000000"/>
          <w:kern w:val="0"/>
          <w:szCs w:val="21"/>
        </w:rPr>
        <w:t>附合同协议书。</w:t>
      </w:r>
    </w:p>
    <w:p w14:paraId="0D166784">
      <w:pPr>
        <w:rPr>
          <w:rFonts w:ascii="Times New Roman" w:hAnsi="Times New Roman"/>
          <w:color w:val="000000"/>
        </w:rPr>
      </w:pPr>
      <w:r>
        <w:rPr>
          <w:rFonts w:ascii="Times New Roman" w:hAnsi="Times New Roman"/>
          <w:color w:val="000000"/>
        </w:rPr>
        <w:br w:type="page"/>
      </w:r>
    </w:p>
    <w:p w14:paraId="37AE9677">
      <w:pPr>
        <w:pStyle w:val="16"/>
        <w:widowControl/>
        <w:spacing w:line="360" w:lineRule="auto"/>
        <w:rPr>
          <w:rFonts w:ascii="等线" w:hAnsi="等线" w:eastAsia="等线" w:cs="等线"/>
          <w:color w:val="000000"/>
        </w:rPr>
      </w:pPr>
    </w:p>
    <w:p w14:paraId="2777E5A0">
      <w:pPr>
        <w:pStyle w:val="3"/>
        <w:spacing w:before="0" w:after="0" w:line="300" w:lineRule="auto"/>
        <w:ind w:firstLine="2233" w:firstLineChars="695"/>
        <w:rPr>
          <w:rFonts w:ascii="Times New Roman" w:hAnsi="Times New Roman"/>
          <w:color w:val="000000"/>
          <w:sz w:val="44"/>
          <w:szCs w:val="44"/>
        </w:rPr>
      </w:pPr>
      <w:r>
        <w:rPr>
          <w:rFonts w:hint="eastAsia" w:ascii="Times New Roman" w:hAnsi="Times New Roman"/>
          <w:color w:val="000000"/>
        </w:rPr>
        <w:t xml:space="preserve">   </w:t>
      </w:r>
      <w:bookmarkStart w:id="820" w:name="_Toc29994"/>
      <w:bookmarkStart w:id="821" w:name="_Toc32528"/>
      <w:bookmarkStart w:id="822" w:name="_Toc11897"/>
      <w:r>
        <w:rPr>
          <w:rFonts w:ascii="Times New Roman" w:hAnsi="Times New Roman"/>
          <w:color w:val="000000"/>
          <w:sz w:val="44"/>
          <w:szCs w:val="44"/>
        </w:rPr>
        <w:t>三、资格审查</w:t>
      </w:r>
      <w:bookmarkEnd w:id="809"/>
      <w:bookmarkEnd w:id="810"/>
      <w:bookmarkEnd w:id="811"/>
      <w:bookmarkEnd w:id="812"/>
      <w:bookmarkEnd w:id="813"/>
      <w:bookmarkEnd w:id="814"/>
      <w:bookmarkEnd w:id="815"/>
      <w:bookmarkEnd w:id="816"/>
      <w:r>
        <w:rPr>
          <w:rFonts w:ascii="Times New Roman" w:hAnsi="Times New Roman"/>
          <w:color w:val="000000"/>
          <w:sz w:val="44"/>
          <w:szCs w:val="44"/>
        </w:rPr>
        <w:t>文件</w:t>
      </w:r>
      <w:bookmarkEnd w:id="820"/>
      <w:bookmarkEnd w:id="821"/>
      <w:bookmarkEnd w:id="822"/>
    </w:p>
    <w:p w14:paraId="3DB0FF32">
      <w:pPr>
        <w:pStyle w:val="4"/>
        <w:spacing w:before="0" w:after="0" w:line="300" w:lineRule="auto"/>
        <w:jc w:val="center"/>
        <w:rPr>
          <w:color w:val="000000"/>
        </w:rPr>
      </w:pPr>
      <w:bookmarkStart w:id="823" w:name="_Toc246997116"/>
      <w:bookmarkStart w:id="824" w:name="_Toc144974876"/>
      <w:bookmarkStart w:id="825" w:name="_Toc8856"/>
      <w:bookmarkStart w:id="826" w:name="_Toc69"/>
      <w:bookmarkStart w:id="827" w:name="_Toc246996373"/>
      <w:bookmarkStart w:id="828" w:name="_Toc179632828"/>
      <w:bookmarkStart w:id="829" w:name="_Toc152045808"/>
      <w:bookmarkStart w:id="830" w:name="_Toc296602618"/>
      <w:bookmarkStart w:id="831" w:name="_Toc22603"/>
      <w:bookmarkStart w:id="832" w:name="_Toc152042597"/>
      <w:bookmarkStart w:id="833" w:name="_Toc247085891"/>
      <w:r>
        <w:rPr>
          <w:color w:val="000000"/>
        </w:rPr>
        <w:t>（一）投标人基本情况表</w:t>
      </w:r>
      <w:bookmarkEnd w:id="823"/>
      <w:bookmarkEnd w:id="824"/>
      <w:bookmarkEnd w:id="825"/>
      <w:bookmarkEnd w:id="826"/>
      <w:bookmarkEnd w:id="827"/>
      <w:bookmarkEnd w:id="828"/>
      <w:bookmarkEnd w:id="829"/>
      <w:bookmarkEnd w:id="830"/>
      <w:bookmarkEnd w:id="831"/>
      <w:bookmarkEnd w:id="832"/>
      <w:bookmarkEnd w:id="833"/>
    </w:p>
    <w:tbl>
      <w:tblPr>
        <w:tblStyle w:val="1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31"/>
        <w:gridCol w:w="900"/>
        <w:gridCol w:w="953"/>
        <w:gridCol w:w="841"/>
        <w:gridCol w:w="421"/>
        <w:gridCol w:w="311"/>
        <w:gridCol w:w="1080"/>
        <w:gridCol w:w="491"/>
        <w:gridCol w:w="862"/>
        <w:gridCol w:w="994"/>
      </w:tblGrid>
      <w:tr w14:paraId="04242C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4A3AF35C">
            <w:pPr>
              <w:topLinePunct/>
              <w:spacing w:line="300" w:lineRule="auto"/>
              <w:jc w:val="center"/>
              <w:rPr>
                <w:rFonts w:ascii="Times New Roman" w:hAnsi="Times New Roman"/>
                <w:color w:val="000000"/>
                <w:szCs w:val="21"/>
              </w:rPr>
            </w:pPr>
            <w:r>
              <w:rPr>
                <w:rFonts w:ascii="Times New Roman" w:hAnsi="Times New Roman"/>
                <w:color w:val="000000"/>
                <w:szCs w:val="21"/>
              </w:rPr>
              <w:t>名称</w:t>
            </w:r>
          </w:p>
        </w:tc>
        <w:tc>
          <w:tcPr>
            <w:tcW w:w="6853" w:type="dxa"/>
            <w:gridSpan w:val="9"/>
            <w:tcBorders>
              <w:top w:val="single" w:color="auto" w:sz="4" w:space="0"/>
              <w:left w:val="single" w:color="auto" w:sz="4" w:space="0"/>
              <w:bottom w:val="single" w:color="auto" w:sz="4" w:space="0"/>
              <w:right w:val="single" w:color="auto" w:sz="4" w:space="0"/>
            </w:tcBorders>
            <w:vAlign w:val="center"/>
          </w:tcPr>
          <w:p w14:paraId="5296F43A">
            <w:pPr>
              <w:topLinePunct/>
              <w:spacing w:line="300" w:lineRule="auto"/>
              <w:jc w:val="center"/>
              <w:rPr>
                <w:rFonts w:ascii="Times New Roman" w:hAnsi="Times New Roman"/>
                <w:color w:val="000000"/>
                <w:szCs w:val="21"/>
              </w:rPr>
            </w:pPr>
          </w:p>
        </w:tc>
      </w:tr>
      <w:tr w14:paraId="53C397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7AD7F5EF">
            <w:pPr>
              <w:topLinePunct/>
              <w:spacing w:line="300" w:lineRule="auto"/>
              <w:jc w:val="center"/>
              <w:rPr>
                <w:rFonts w:ascii="Times New Roman" w:hAnsi="Times New Roman"/>
                <w:color w:val="000000"/>
                <w:szCs w:val="21"/>
              </w:rPr>
            </w:pPr>
            <w:r>
              <w:rPr>
                <w:rFonts w:ascii="Times New Roman" w:hAnsi="Times New Roman"/>
                <w:color w:val="000000"/>
                <w:szCs w:val="21"/>
              </w:rPr>
              <w:t>注册地址</w:t>
            </w:r>
          </w:p>
        </w:tc>
        <w:tc>
          <w:tcPr>
            <w:tcW w:w="3426" w:type="dxa"/>
            <w:gridSpan w:val="5"/>
            <w:tcBorders>
              <w:top w:val="single" w:color="auto" w:sz="4" w:space="0"/>
              <w:left w:val="single" w:color="auto" w:sz="4" w:space="0"/>
              <w:bottom w:val="single" w:color="auto" w:sz="4" w:space="0"/>
              <w:right w:val="single" w:color="auto" w:sz="4" w:space="0"/>
            </w:tcBorders>
            <w:vAlign w:val="center"/>
          </w:tcPr>
          <w:p w14:paraId="4A02D1E0">
            <w:pPr>
              <w:topLinePunct/>
              <w:spacing w:line="300" w:lineRule="auto"/>
              <w:jc w:val="center"/>
              <w:rPr>
                <w:rFonts w:ascii="Times New Roman" w:hAnsi="Times New Roman"/>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693A688C">
            <w:pPr>
              <w:topLinePunct/>
              <w:spacing w:line="300" w:lineRule="auto"/>
              <w:jc w:val="center"/>
              <w:rPr>
                <w:rFonts w:ascii="Times New Roman" w:hAnsi="Times New Roman"/>
                <w:color w:val="000000"/>
                <w:szCs w:val="21"/>
              </w:rPr>
            </w:pPr>
            <w:r>
              <w:rPr>
                <w:rFonts w:ascii="Times New Roman" w:hAnsi="Times New Roman"/>
                <w:color w:val="000000"/>
                <w:szCs w:val="21"/>
              </w:rPr>
              <w:t>邮政编码</w:t>
            </w:r>
          </w:p>
        </w:tc>
        <w:tc>
          <w:tcPr>
            <w:tcW w:w="2347" w:type="dxa"/>
            <w:gridSpan w:val="3"/>
            <w:tcBorders>
              <w:top w:val="single" w:color="auto" w:sz="4" w:space="0"/>
              <w:left w:val="single" w:color="auto" w:sz="4" w:space="0"/>
              <w:bottom w:val="single" w:color="auto" w:sz="4" w:space="0"/>
              <w:right w:val="single" w:color="auto" w:sz="4" w:space="0"/>
            </w:tcBorders>
            <w:vAlign w:val="center"/>
          </w:tcPr>
          <w:p w14:paraId="00C9AB77">
            <w:pPr>
              <w:topLinePunct/>
              <w:spacing w:line="300" w:lineRule="auto"/>
              <w:jc w:val="center"/>
              <w:rPr>
                <w:rFonts w:ascii="Times New Roman" w:hAnsi="Times New Roman"/>
                <w:color w:val="000000"/>
                <w:szCs w:val="21"/>
              </w:rPr>
            </w:pPr>
          </w:p>
        </w:tc>
      </w:tr>
      <w:tr w14:paraId="4DCC78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0" w:hRule="atLeast"/>
          <w:jc w:val="center"/>
        </w:trPr>
        <w:tc>
          <w:tcPr>
            <w:tcW w:w="1731" w:type="dxa"/>
            <w:vMerge w:val="restart"/>
            <w:tcBorders>
              <w:top w:val="single" w:color="auto" w:sz="4" w:space="0"/>
              <w:left w:val="single" w:color="auto" w:sz="4" w:space="0"/>
              <w:bottom w:val="single" w:color="auto" w:sz="4" w:space="0"/>
              <w:right w:val="single" w:color="auto" w:sz="4" w:space="0"/>
            </w:tcBorders>
            <w:vAlign w:val="center"/>
          </w:tcPr>
          <w:p w14:paraId="118D38E2">
            <w:pPr>
              <w:topLinePunct/>
              <w:spacing w:line="300" w:lineRule="auto"/>
              <w:jc w:val="center"/>
              <w:rPr>
                <w:rFonts w:ascii="Times New Roman" w:hAnsi="Times New Roman"/>
                <w:color w:val="000000"/>
                <w:szCs w:val="21"/>
              </w:rPr>
            </w:pPr>
            <w:r>
              <w:rPr>
                <w:rFonts w:ascii="Times New Roman" w:hAnsi="Times New Roman"/>
                <w:color w:val="000000"/>
                <w:szCs w:val="21"/>
              </w:rPr>
              <w:t>联系方式</w:t>
            </w:r>
          </w:p>
        </w:tc>
        <w:tc>
          <w:tcPr>
            <w:tcW w:w="900" w:type="dxa"/>
            <w:tcBorders>
              <w:top w:val="single" w:color="auto" w:sz="4" w:space="0"/>
              <w:left w:val="single" w:color="auto" w:sz="4" w:space="0"/>
              <w:bottom w:val="single" w:color="auto" w:sz="4" w:space="0"/>
              <w:right w:val="single" w:color="auto" w:sz="4" w:space="0"/>
            </w:tcBorders>
            <w:vAlign w:val="center"/>
          </w:tcPr>
          <w:p w14:paraId="71CBE681">
            <w:pPr>
              <w:topLinePunct/>
              <w:spacing w:line="300" w:lineRule="auto"/>
              <w:jc w:val="center"/>
              <w:rPr>
                <w:rFonts w:ascii="Times New Roman" w:hAnsi="Times New Roman"/>
                <w:color w:val="000000"/>
                <w:szCs w:val="21"/>
              </w:rPr>
            </w:pPr>
            <w:r>
              <w:rPr>
                <w:rFonts w:ascii="Times New Roman" w:hAnsi="Times New Roman"/>
                <w:color w:val="000000"/>
                <w:szCs w:val="21"/>
              </w:rPr>
              <w:t>联系人</w:t>
            </w:r>
          </w:p>
        </w:tc>
        <w:tc>
          <w:tcPr>
            <w:tcW w:w="2526" w:type="dxa"/>
            <w:gridSpan w:val="4"/>
            <w:tcBorders>
              <w:top w:val="single" w:color="auto" w:sz="4" w:space="0"/>
              <w:left w:val="single" w:color="auto" w:sz="4" w:space="0"/>
              <w:bottom w:val="single" w:color="auto" w:sz="4" w:space="0"/>
              <w:right w:val="single" w:color="auto" w:sz="4" w:space="0"/>
            </w:tcBorders>
            <w:vAlign w:val="center"/>
          </w:tcPr>
          <w:p w14:paraId="3656C9BE">
            <w:pPr>
              <w:topLinePunct/>
              <w:spacing w:line="300" w:lineRule="auto"/>
              <w:jc w:val="center"/>
              <w:rPr>
                <w:rFonts w:ascii="Times New Roman" w:hAnsi="Times New Roman"/>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3A8640A3">
            <w:pPr>
              <w:topLinePunct/>
              <w:spacing w:line="300" w:lineRule="auto"/>
              <w:jc w:val="center"/>
              <w:rPr>
                <w:rFonts w:ascii="Times New Roman" w:hAnsi="Times New Roman"/>
                <w:color w:val="000000"/>
                <w:szCs w:val="21"/>
              </w:rPr>
            </w:pPr>
            <w:r>
              <w:rPr>
                <w:rFonts w:ascii="Times New Roman" w:hAnsi="Times New Roman"/>
                <w:color w:val="000000"/>
                <w:szCs w:val="21"/>
              </w:rPr>
              <w:t>电 话</w:t>
            </w:r>
          </w:p>
        </w:tc>
        <w:tc>
          <w:tcPr>
            <w:tcW w:w="2347" w:type="dxa"/>
            <w:gridSpan w:val="3"/>
            <w:tcBorders>
              <w:top w:val="single" w:color="auto" w:sz="4" w:space="0"/>
              <w:left w:val="single" w:color="auto" w:sz="4" w:space="0"/>
              <w:bottom w:val="single" w:color="auto" w:sz="4" w:space="0"/>
              <w:right w:val="single" w:color="auto" w:sz="4" w:space="0"/>
            </w:tcBorders>
            <w:vAlign w:val="center"/>
          </w:tcPr>
          <w:p w14:paraId="4B6A730C">
            <w:pPr>
              <w:topLinePunct/>
              <w:spacing w:line="300" w:lineRule="auto"/>
              <w:jc w:val="center"/>
              <w:rPr>
                <w:rFonts w:ascii="Times New Roman" w:hAnsi="Times New Roman"/>
                <w:color w:val="000000"/>
                <w:szCs w:val="21"/>
              </w:rPr>
            </w:pPr>
          </w:p>
        </w:tc>
      </w:tr>
      <w:tr w14:paraId="65013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7" w:hRule="atLeast"/>
          <w:jc w:val="center"/>
        </w:trPr>
        <w:tc>
          <w:tcPr>
            <w:tcW w:w="1731" w:type="dxa"/>
            <w:vMerge w:val="continue"/>
            <w:tcBorders>
              <w:top w:val="single" w:color="auto" w:sz="4" w:space="0"/>
              <w:left w:val="single" w:color="auto" w:sz="4" w:space="0"/>
              <w:bottom w:val="single" w:color="auto" w:sz="4" w:space="0"/>
              <w:right w:val="single" w:color="auto" w:sz="4" w:space="0"/>
            </w:tcBorders>
            <w:vAlign w:val="center"/>
          </w:tcPr>
          <w:p w14:paraId="382F7C0F">
            <w:pPr>
              <w:topLinePunct/>
              <w:spacing w:line="300" w:lineRule="auto"/>
              <w:jc w:val="center"/>
              <w:rPr>
                <w:rFonts w:ascii="Times New Roman" w:hAnsi="Times New Roman"/>
                <w:color w:val="000000"/>
                <w:szCs w:val="21"/>
              </w:rPr>
            </w:pPr>
          </w:p>
        </w:tc>
        <w:tc>
          <w:tcPr>
            <w:tcW w:w="900" w:type="dxa"/>
            <w:tcBorders>
              <w:top w:val="single" w:color="auto" w:sz="4" w:space="0"/>
              <w:left w:val="single" w:color="auto" w:sz="4" w:space="0"/>
              <w:bottom w:val="single" w:color="auto" w:sz="4" w:space="0"/>
              <w:right w:val="single" w:color="auto" w:sz="4" w:space="0"/>
            </w:tcBorders>
            <w:vAlign w:val="center"/>
          </w:tcPr>
          <w:p w14:paraId="10B728BD">
            <w:pPr>
              <w:topLinePunct/>
              <w:spacing w:line="300" w:lineRule="auto"/>
              <w:jc w:val="center"/>
              <w:rPr>
                <w:rFonts w:ascii="Times New Roman" w:hAnsi="Times New Roman"/>
                <w:color w:val="000000"/>
                <w:szCs w:val="21"/>
              </w:rPr>
            </w:pPr>
            <w:r>
              <w:rPr>
                <w:rFonts w:ascii="Times New Roman" w:hAnsi="Times New Roman"/>
                <w:color w:val="000000"/>
                <w:szCs w:val="21"/>
              </w:rPr>
              <w:t>传  真</w:t>
            </w:r>
          </w:p>
        </w:tc>
        <w:tc>
          <w:tcPr>
            <w:tcW w:w="2526" w:type="dxa"/>
            <w:gridSpan w:val="4"/>
            <w:tcBorders>
              <w:top w:val="single" w:color="auto" w:sz="4" w:space="0"/>
              <w:left w:val="single" w:color="auto" w:sz="4" w:space="0"/>
              <w:bottom w:val="single" w:color="auto" w:sz="4" w:space="0"/>
              <w:right w:val="single" w:color="auto" w:sz="4" w:space="0"/>
            </w:tcBorders>
            <w:vAlign w:val="center"/>
          </w:tcPr>
          <w:p w14:paraId="5DA2939B">
            <w:pPr>
              <w:topLinePunct/>
              <w:spacing w:line="300" w:lineRule="auto"/>
              <w:jc w:val="center"/>
              <w:rPr>
                <w:rFonts w:ascii="Times New Roman" w:hAnsi="Times New Roman"/>
                <w:color w:val="000000"/>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41057CF2">
            <w:pPr>
              <w:topLinePunct/>
              <w:spacing w:line="300" w:lineRule="auto"/>
              <w:jc w:val="center"/>
              <w:rPr>
                <w:rFonts w:ascii="Times New Roman" w:hAnsi="Times New Roman"/>
                <w:color w:val="000000"/>
                <w:szCs w:val="21"/>
              </w:rPr>
            </w:pPr>
            <w:r>
              <w:rPr>
                <w:rFonts w:ascii="Times New Roman" w:hAnsi="Times New Roman"/>
                <w:color w:val="000000"/>
                <w:szCs w:val="21"/>
              </w:rPr>
              <w:t>网 址</w:t>
            </w:r>
          </w:p>
        </w:tc>
        <w:tc>
          <w:tcPr>
            <w:tcW w:w="2347" w:type="dxa"/>
            <w:gridSpan w:val="3"/>
            <w:tcBorders>
              <w:top w:val="single" w:color="auto" w:sz="4" w:space="0"/>
              <w:left w:val="single" w:color="auto" w:sz="4" w:space="0"/>
              <w:bottom w:val="single" w:color="auto" w:sz="4" w:space="0"/>
              <w:right w:val="single" w:color="auto" w:sz="4" w:space="0"/>
            </w:tcBorders>
            <w:vAlign w:val="center"/>
          </w:tcPr>
          <w:p w14:paraId="0A972F60">
            <w:pPr>
              <w:topLinePunct/>
              <w:spacing w:line="300" w:lineRule="auto"/>
              <w:jc w:val="center"/>
              <w:rPr>
                <w:rFonts w:ascii="Times New Roman" w:hAnsi="Times New Roman"/>
                <w:color w:val="000000"/>
                <w:szCs w:val="21"/>
              </w:rPr>
            </w:pPr>
          </w:p>
        </w:tc>
      </w:tr>
      <w:tr w14:paraId="394925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7AF7D835">
            <w:pPr>
              <w:topLinePunct/>
              <w:spacing w:line="300" w:lineRule="auto"/>
              <w:jc w:val="center"/>
              <w:rPr>
                <w:rFonts w:ascii="Times New Roman" w:hAnsi="Times New Roman"/>
                <w:color w:val="000000"/>
                <w:szCs w:val="21"/>
              </w:rPr>
            </w:pPr>
            <w:r>
              <w:rPr>
                <w:rFonts w:ascii="Times New Roman" w:hAnsi="Times New Roman"/>
                <w:color w:val="000000"/>
                <w:szCs w:val="21"/>
              </w:rPr>
              <w:t>组织结构</w:t>
            </w:r>
          </w:p>
        </w:tc>
        <w:tc>
          <w:tcPr>
            <w:tcW w:w="6853" w:type="dxa"/>
            <w:gridSpan w:val="9"/>
            <w:tcBorders>
              <w:top w:val="single" w:color="auto" w:sz="4" w:space="0"/>
              <w:left w:val="single" w:color="auto" w:sz="4" w:space="0"/>
              <w:bottom w:val="single" w:color="auto" w:sz="4" w:space="0"/>
              <w:right w:val="single" w:color="auto" w:sz="4" w:space="0"/>
            </w:tcBorders>
            <w:vAlign w:val="center"/>
          </w:tcPr>
          <w:p w14:paraId="112E5395">
            <w:pPr>
              <w:topLinePunct/>
              <w:spacing w:line="300" w:lineRule="auto"/>
              <w:jc w:val="center"/>
              <w:rPr>
                <w:rFonts w:ascii="Times New Roman" w:hAnsi="Times New Roman"/>
                <w:color w:val="000000"/>
                <w:szCs w:val="21"/>
              </w:rPr>
            </w:pPr>
          </w:p>
        </w:tc>
      </w:tr>
      <w:tr w14:paraId="391A5C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3"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461DD289">
            <w:pPr>
              <w:topLinePunct/>
              <w:spacing w:line="300" w:lineRule="auto"/>
              <w:jc w:val="center"/>
              <w:rPr>
                <w:rFonts w:ascii="Times New Roman" w:hAnsi="Times New Roman"/>
                <w:color w:val="000000"/>
                <w:szCs w:val="21"/>
              </w:rPr>
            </w:pPr>
            <w:r>
              <w:rPr>
                <w:rFonts w:ascii="Times New Roman" w:hAnsi="Times New Roman"/>
                <w:color w:val="000000"/>
                <w:szCs w:val="21"/>
              </w:rPr>
              <w:t>法定代表人</w:t>
            </w:r>
          </w:p>
        </w:tc>
        <w:tc>
          <w:tcPr>
            <w:tcW w:w="900" w:type="dxa"/>
            <w:tcBorders>
              <w:top w:val="single" w:color="auto" w:sz="4" w:space="0"/>
              <w:left w:val="single" w:color="auto" w:sz="4" w:space="0"/>
              <w:bottom w:val="single" w:color="auto" w:sz="4" w:space="0"/>
              <w:right w:val="single" w:color="auto" w:sz="4" w:space="0"/>
            </w:tcBorders>
            <w:vAlign w:val="center"/>
          </w:tcPr>
          <w:p w14:paraId="0122A193">
            <w:pPr>
              <w:topLinePunct/>
              <w:spacing w:line="300" w:lineRule="auto"/>
              <w:jc w:val="center"/>
              <w:rPr>
                <w:rFonts w:ascii="Times New Roman" w:hAnsi="Times New Roman"/>
                <w:color w:val="000000"/>
                <w:szCs w:val="21"/>
              </w:rPr>
            </w:pPr>
            <w:r>
              <w:rPr>
                <w:rFonts w:ascii="Times New Roman" w:hAnsi="Times New Roman"/>
                <w:color w:val="000000"/>
                <w:szCs w:val="21"/>
              </w:rPr>
              <w:t>姓名</w:t>
            </w:r>
          </w:p>
        </w:tc>
        <w:tc>
          <w:tcPr>
            <w:tcW w:w="953" w:type="dxa"/>
            <w:tcBorders>
              <w:top w:val="single" w:color="auto" w:sz="4" w:space="0"/>
              <w:left w:val="single" w:color="auto" w:sz="4" w:space="0"/>
              <w:bottom w:val="single" w:color="auto" w:sz="4" w:space="0"/>
              <w:right w:val="single" w:color="auto" w:sz="4" w:space="0"/>
            </w:tcBorders>
            <w:vAlign w:val="center"/>
          </w:tcPr>
          <w:p w14:paraId="289D22AD">
            <w:pPr>
              <w:topLinePunct/>
              <w:spacing w:line="300" w:lineRule="auto"/>
              <w:jc w:val="center"/>
              <w:rPr>
                <w:rFonts w:ascii="Times New Roman" w:hAnsi="Times New Roman"/>
                <w:color w:val="000000"/>
                <w:szCs w:val="21"/>
              </w:rPr>
            </w:pPr>
          </w:p>
        </w:tc>
        <w:tc>
          <w:tcPr>
            <w:tcW w:w="1262" w:type="dxa"/>
            <w:gridSpan w:val="2"/>
            <w:tcBorders>
              <w:top w:val="single" w:color="auto" w:sz="4" w:space="0"/>
              <w:left w:val="single" w:color="auto" w:sz="4" w:space="0"/>
              <w:bottom w:val="single" w:color="auto" w:sz="4" w:space="0"/>
              <w:right w:val="single" w:color="auto" w:sz="4" w:space="0"/>
            </w:tcBorders>
            <w:vAlign w:val="center"/>
          </w:tcPr>
          <w:p w14:paraId="2F480903">
            <w:pPr>
              <w:topLinePunct/>
              <w:spacing w:line="300" w:lineRule="auto"/>
              <w:jc w:val="center"/>
              <w:rPr>
                <w:rFonts w:ascii="Times New Roman" w:hAnsi="Times New Roman"/>
                <w:color w:val="000000"/>
                <w:szCs w:val="21"/>
              </w:rPr>
            </w:pPr>
            <w:r>
              <w:rPr>
                <w:rFonts w:ascii="Times New Roman" w:hAnsi="Times New Roman"/>
                <w:color w:val="000000"/>
                <w:szCs w:val="21"/>
              </w:rPr>
              <w:t>技术职称</w:t>
            </w:r>
          </w:p>
        </w:tc>
        <w:tc>
          <w:tcPr>
            <w:tcW w:w="1882" w:type="dxa"/>
            <w:gridSpan w:val="3"/>
            <w:tcBorders>
              <w:top w:val="single" w:color="auto" w:sz="4" w:space="0"/>
              <w:left w:val="single" w:color="auto" w:sz="4" w:space="0"/>
              <w:bottom w:val="single" w:color="auto" w:sz="4" w:space="0"/>
              <w:right w:val="single" w:color="auto" w:sz="4" w:space="0"/>
            </w:tcBorders>
            <w:vAlign w:val="center"/>
          </w:tcPr>
          <w:p w14:paraId="798E85FA">
            <w:pPr>
              <w:topLinePunct/>
              <w:spacing w:line="300" w:lineRule="auto"/>
              <w:jc w:val="center"/>
              <w:rPr>
                <w:rFonts w:ascii="Times New Roman" w:hAnsi="Times New Roman"/>
                <w:color w:val="000000"/>
                <w:szCs w:val="21"/>
              </w:rPr>
            </w:pPr>
          </w:p>
        </w:tc>
        <w:tc>
          <w:tcPr>
            <w:tcW w:w="862" w:type="dxa"/>
            <w:tcBorders>
              <w:top w:val="single" w:color="auto" w:sz="4" w:space="0"/>
              <w:left w:val="single" w:color="auto" w:sz="4" w:space="0"/>
              <w:bottom w:val="single" w:color="auto" w:sz="4" w:space="0"/>
              <w:right w:val="single" w:color="auto" w:sz="4" w:space="0"/>
            </w:tcBorders>
            <w:vAlign w:val="center"/>
          </w:tcPr>
          <w:p w14:paraId="6BB6ADC2">
            <w:pPr>
              <w:topLinePunct/>
              <w:spacing w:line="300" w:lineRule="auto"/>
              <w:jc w:val="center"/>
              <w:rPr>
                <w:rFonts w:ascii="Times New Roman" w:hAnsi="Times New Roman"/>
                <w:color w:val="000000"/>
                <w:szCs w:val="21"/>
              </w:rPr>
            </w:pPr>
            <w:r>
              <w:rPr>
                <w:rFonts w:ascii="Times New Roman" w:hAnsi="Times New Roman"/>
                <w:color w:val="000000"/>
                <w:szCs w:val="21"/>
              </w:rPr>
              <w:t>电话</w:t>
            </w:r>
          </w:p>
        </w:tc>
        <w:tc>
          <w:tcPr>
            <w:tcW w:w="994" w:type="dxa"/>
            <w:tcBorders>
              <w:top w:val="single" w:color="auto" w:sz="4" w:space="0"/>
              <w:left w:val="single" w:color="auto" w:sz="4" w:space="0"/>
              <w:bottom w:val="single" w:color="auto" w:sz="4" w:space="0"/>
              <w:right w:val="single" w:color="auto" w:sz="4" w:space="0"/>
            </w:tcBorders>
            <w:vAlign w:val="center"/>
          </w:tcPr>
          <w:p w14:paraId="5A34DD4B">
            <w:pPr>
              <w:topLinePunct/>
              <w:spacing w:line="300" w:lineRule="auto"/>
              <w:jc w:val="center"/>
              <w:rPr>
                <w:rFonts w:ascii="Times New Roman" w:hAnsi="Times New Roman"/>
                <w:color w:val="000000"/>
                <w:szCs w:val="21"/>
              </w:rPr>
            </w:pPr>
          </w:p>
        </w:tc>
      </w:tr>
      <w:tr w14:paraId="7A6243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4366835B">
            <w:pPr>
              <w:topLinePunct/>
              <w:spacing w:line="300" w:lineRule="auto"/>
              <w:jc w:val="center"/>
              <w:rPr>
                <w:rFonts w:ascii="Times New Roman" w:hAnsi="Times New Roman"/>
                <w:color w:val="000000"/>
                <w:szCs w:val="21"/>
              </w:rPr>
            </w:pPr>
            <w:r>
              <w:rPr>
                <w:rFonts w:ascii="Times New Roman" w:hAnsi="Times New Roman"/>
                <w:color w:val="000000"/>
                <w:szCs w:val="21"/>
              </w:rPr>
              <w:t>技术负责人</w:t>
            </w:r>
          </w:p>
        </w:tc>
        <w:tc>
          <w:tcPr>
            <w:tcW w:w="900" w:type="dxa"/>
            <w:tcBorders>
              <w:top w:val="single" w:color="auto" w:sz="4" w:space="0"/>
              <w:left w:val="single" w:color="auto" w:sz="4" w:space="0"/>
              <w:bottom w:val="single" w:color="auto" w:sz="4" w:space="0"/>
              <w:right w:val="single" w:color="auto" w:sz="4" w:space="0"/>
            </w:tcBorders>
            <w:vAlign w:val="center"/>
          </w:tcPr>
          <w:p w14:paraId="4ECA08F5">
            <w:pPr>
              <w:topLinePunct/>
              <w:spacing w:line="300" w:lineRule="auto"/>
              <w:jc w:val="center"/>
              <w:rPr>
                <w:rFonts w:ascii="Times New Roman" w:hAnsi="Times New Roman"/>
                <w:color w:val="000000"/>
                <w:szCs w:val="21"/>
              </w:rPr>
            </w:pPr>
            <w:r>
              <w:rPr>
                <w:rFonts w:ascii="Times New Roman" w:hAnsi="Times New Roman"/>
                <w:color w:val="000000"/>
                <w:szCs w:val="21"/>
              </w:rPr>
              <w:t>姓名</w:t>
            </w:r>
          </w:p>
        </w:tc>
        <w:tc>
          <w:tcPr>
            <w:tcW w:w="953" w:type="dxa"/>
            <w:tcBorders>
              <w:top w:val="single" w:color="auto" w:sz="4" w:space="0"/>
              <w:left w:val="single" w:color="auto" w:sz="4" w:space="0"/>
              <w:bottom w:val="single" w:color="auto" w:sz="4" w:space="0"/>
              <w:right w:val="single" w:color="auto" w:sz="4" w:space="0"/>
            </w:tcBorders>
            <w:vAlign w:val="center"/>
          </w:tcPr>
          <w:p w14:paraId="37C6831C">
            <w:pPr>
              <w:topLinePunct/>
              <w:spacing w:line="300" w:lineRule="auto"/>
              <w:jc w:val="center"/>
              <w:rPr>
                <w:rFonts w:ascii="Times New Roman" w:hAnsi="Times New Roman"/>
                <w:color w:val="000000"/>
                <w:szCs w:val="21"/>
              </w:rPr>
            </w:pPr>
          </w:p>
        </w:tc>
        <w:tc>
          <w:tcPr>
            <w:tcW w:w="1262" w:type="dxa"/>
            <w:gridSpan w:val="2"/>
            <w:tcBorders>
              <w:top w:val="single" w:color="auto" w:sz="4" w:space="0"/>
              <w:left w:val="single" w:color="auto" w:sz="4" w:space="0"/>
              <w:bottom w:val="single" w:color="auto" w:sz="4" w:space="0"/>
              <w:right w:val="single" w:color="auto" w:sz="4" w:space="0"/>
            </w:tcBorders>
            <w:vAlign w:val="center"/>
          </w:tcPr>
          <w:p w14:paraId="55A0966C">
            <w:pPr>
              <w:topLinePunct/>
              <w:spacing w:line="300" w:lineRule="auto"/>
              <w:jc w:val="center"/>
              <w:rPr>
                <w:rFonts w:ascii="Times New Roman" w:hAnsi="Times New Roman"/>
                <w:color w:val="000000"/>
                <w:szCs w:val="21"/>
              </w:rPr>
            </w:pPr>
            <w:r>
              <w:rPr>
                <w:rFonts w:ascii="Times New Roman" w:hAnsi="Times New Roman"/>
                <w:color w:val="000000"/>
                <w:szCs w:val="21"/>
              </w:rPr>
              <w:t>技术职称</w:t>
            </w:r>
          </w:p>
        </w:tc>
        <w:tc>
          <w:tcPr>
            <w:tcW w:w="1882" w:type="dxa"/>
            <w:gridSpan w:val="3"/>
            <w:tcBorders>
              <w:top w:val="single" w:color="auto" w:sz="4" w:space="0"/>
              <w:left w:val="single" w:color="auto" w:sz="4" w:space="0"/>
              <w:bottom w:val="single" w:color="auto" w:sz="4" w:space="0"/>
              <w:right w:val="single" w:color="auto" w:sz="4" w:space="0"/>
            </w:tcBorders>
            <w:vAlign w:val="center"/>
          </w:tcPr>
          <w:p w14:paraId="0CB7917E">
            <w:pPr>
              <w:topLinePunct/>
              <w:spacing w:line="300" w:lineRule="auto"/>
              <w:jc w:val="center"/>
              <w:rPr>
                <w:rFonts w:ascii="Times New Roman" w:hAnsi="Times New Roman"/>
                <w:color w:val="000000"/>
                <w:szCs w:val="21"/>
              </w:rPr>
            </w:pPr>
          </w:p>
        </w:tc>
        <w:tc>
          <w:tcPr>
            <w:tcW w:w="862" w:type="dxa"/>
            <w:tcBorders>
              <w:top w:val="single" w:color="auto" w:sz="4" w:space="0"/>
              <w:left w:val="single" w:color="auto" w:sz="4" w:space="0"/>
              <w:bottom w:val="single" w:color="auto" w:sz="4" w:space="0"/>
              <w:right w:val="single" w:color="auto" w:sz="4" w:space="0"/>
            </w:tcBorders>
            <w:vAlign w:val="center"/>
          </w:tcPr>
          <w:p w14:paraId="79554398">
            <w:pPr>
              <w:topLinePunct/>
              <w:spacing w:line="300" w:lineRule="auto"/>
              <w:jc w:val="center"/>
              <w:rPr>
                <w:rFonts w:ascii="Times New Roman" w:hAnsi="Times New Roman"/>
                <w:color w:val="000000"/>
                <w:szCs w:val="21"/>
              </w:rPr>
            </w:pPr>
            <w:r>
              <w:rPr>
                <w:rFonts w:ascii="Times New Roman" w:hAnsi="Times New Roman"/>
                <w:color w:val="000000"/>
                <w:szCs w:val="21"/>
              </w:rPr>
              <w:t>电话</w:t>
            </w:r>
          </w:p>
        </w:tc>
        <w:tc>
          <w:tcPr>
            <w:tcW w:w="994" w:type="dxa"/>
            <w:tcBorders>
              <w:top w:val="single" w:color="auto" w:sz="4" w:space="0"/>
              <w:left w:val="single" w:color="auto" w:sz="4" w:space="0"/>
              <w:bottom w:val="single" w:color="auto" w:sz="4" w:space="0"/>
              <w:right w:val="single" w:color="auto" w:sz="4" w:space="0"/>
            </w:tcBorders>
            <w:vAlign w:val="center"/>
          </w:tcPr>
          <w:p w14:paraId="570F2098">
            <w:pPr>
              <w:topLinePunct/>
              <w:spacing w:line="300" w:lineRule="auto"/>
              <w:jc w:val="center"/>
              <w:rPr>
                <w:rFonts w:ascii="Times New Roman" w:hAnsi="Times New Roman"/>
                <w:color w:val="000000"/>
                <w:szCs w:val="21"/>
              </w:rPr>
            </w:pPr>
          </w:p>
        </w:tc>
      </w:tr>
      <w:tr w14:paraId="3A3CD7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26B72A80">
            <w:pPr>
              <w:topLinePunct/>
              <w:spacing w:line="300" w:lineRule="auto"/>
              <w:jc w:val="center"/>
              <w:rPr>
                <w:rFonts w:ascii="Times New Roman" w:hAnsi="Times New Roman"/>
                <w:color w:val="000000"/>
                <w:szCs w:val="21"/>
              </w:rPr>
            </w:pPr>
            <w:r>
              <w:rPr>
                <w:rFonts w:ascii="Times New Roman" w:hAnsi="Times New Roman"/>
                <w:color w:val="000000"/>
                <w:szCs w:val="21"/>
              </w:rPr>
              <w:t>成立时间</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5BE649BD">
            <w:pPr>
              <w:topLinePunct/>
              <w:spacing w:line="300" w:lineRule="auto"/>
              <w:jc w:val="center"/>
              <w:rPr>
                <w:rFonts w:ascii="Times New Roman" w:hAnsi="Times New Roman"/>
                <w:color w:val="000000"/>
                <w:szCs w:val="21"/>
              </w:rPr>
            </w:pPr>
          </w:p>
        </w:tc>
        <w:tc>
          <w:tcPr>
            <w:tcW w:w="5000" w:type="dxa"/>
            <w:gridSpan w:val="7"/>
            <w:tcBorders>
              <w:top w:val="single" w:color="auto" w:sz="4" w:space="0"/>
              <w:left w:val="single" w:color="auto" w:sz="4" w:space="0"/>
              <w:bottom w:val="single" w:color="auto" w:sz="4" w:space="0"/>
              <w:right w:val="single" w:color="auto" w:sz="4" w:space="0"/>
            </w:tcBorders>
            <w:vAlign w:val="center"/>
          </w:tcPr>
          <w:p w14:paraId="2CA7BE50">
            <w:pPr>
              <w:topLinePunct/>
              <w:spacing w:line="300" w:lineRule="auto"/>
              <w:ind w:firstLine="105" w:firstLineChars="50"/>
              <w:jc w:val="center"/>
              <w:rPr>
                <w:rFonts w:ascii="Times New Roman" w:hAnsi="Times New Roman"/>
                <w:color w:val="000000"/>
                <w:szCs w:val="21"/>
              </w:rPr>
            </w:pPr>
            <w:r>
              <w:rPr>
                <w:rFonts w:ascii="Times New Roman" w:hAnsi="Times New Roman"/>
                <w:color w:val="000000"/>
                <w:szCs w:val="21"/>
              </w:rPr>
              <w:t>员工总人数：</w:t>
            </w:r>
          </w:p>
        </w:tc>
      </w:tr>
      <w:tr w14:paraId="26F39E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6"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4B1325AD">
            <w:pPr>
              <w:topLinePunct/>
              <w:spacing w:line="300" w:lineRule="auto"/>
              <w:jc w:val="center"/>
              <w:rPr>
                <w:rFonts w:ascii="Times New Roman" w:hAnsi="Times New Roman"/>
                <w:color w:val="000000"/>
                <w:szCs w:val="21"/>
              </w:rPr>
            </w:pPr>
            <w:r>
              <w:rPr>
                <w:rFonts w:ascii="Times New Roman" w:hAnsi="Times New Roman"/>
                <w:color w:val="000000"/>
                <w:szCs w:val="21"/>
              </w:rPr>
              <w:t>企业资质等级</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389945C6">
            <w:pPr>
              <w:topLinePunct/>
              <w:spacing w:line="300" w:lineRule="auto"/>
              <w:jc w:val="center"/>
              <w:rPr>
                <w:rFonts w:ascii="Times New Roman" w:hAnsi="Times New Roman"/>
                <w:color w:val="000000"/>
                <w:szCs w:val="21"/>
              </w:rPr>
            </w:pPr>
          </w:p>
        </w:tc>
        <w:tc>
          <w:tcPr>
            <w:tcW w:w="841" w:type="dxa"/>
            <w:vMerge w:val="restart"/>
            <w:tcBorders>
              <w:top w:val="single" w:color="auto" w:sz="4" w:space="0"/>
              <w:left w:val="single" w:color="auto" w:sz="4" w:space="0"/>
              <w:bottom w:val="single" w:color="auto" w:sz="4" w:space="0"/>
              <w:right w:val="single" w:color="auto" w:sz="4" w:space="0"/>
            </w:tcBorders>
            <w:vAlign w:val="center"/>
          </w:tcPr>
          <w:p w14:paraId="6B16944B">
            <w:pPr>
              <w:topLinePunct/>
              <w:spacing w:line="300" w:lineRule="auto"/>
              <w:jc w:val="center"/>
              <w:rPr>
                <w:rFonts w:ascii="Times New Roman" w:hAnsi="Times New Roman"/>
                <w:color w:val="000000"/>
                <w:szCs w:val="21"/>
              </w:rPr>
            </w:pPr>
            <w:r>
              <w:rPr>
                <w:rFonts w:ascii="Times New Roman" w:hAnsi="Times New Roman"/>
                <w:color w:val="000000"/>
                <w:szCs w:val="21"/>
              </w:rPr>
              <w:t>其中</w:t>
            </w:r>
          </w:p>
        </w:tc>
        <w:tc>
          <w:tcPr>
            <w:tcW w:w="2303" w:type="dxa"/>
            <w:gridSpan w:val="4"/>
            <w:tcBorders>
              <w:top w:val="single" w:color="auto" w:sz="4" w:space="0"/>
              <w:left w:val="single" w:color="auto" w:sz="4" w:space="0"/>
              <w:bottom w:val="single" w:color="auto" w:sz="4" w:space="0"/>
              <w:right w:val="single" w:color="auto" w:sz="4" w:space="0"/>
            </w:tcBorders>
            <w:vAlign w:val="center"/>
          </w:tcPr>
          <w:p w14:paraId="5C43F981">
            <w:pPr>
              <w:topLinePunct/>
              <w:spacing w:line="300" w:lineRule="auto"/>
              <w:jc w:val="center"/>
              <w:rPr>
                <w:rFonts w:ascii="Times New Roman" w:hAnsi="Times New Roman"/>
                <w:color w:val="000000"/>
                <w:szCs w:val="21"/>
              </w:rPr>
            </w:pPr>
            <w:r>
              <w:rPr>
                <w:rFonts w:ascii="Times New Roman" w:hAnsi="Times New Roman"/>
                <w:color w:val="000000"/>
                <w:szCs w:val="21"/>
              </w:rPr>
              <w:t>项目经理</w:t>
            </w:r>
          </w:p>
        </w:tc>
        <w:tc>
          <w:tcPr>
            <w:tcW w:w="1856" w:type="dxa"/>
            <w:gridSpan w:val="2"/>
            <w:tcBorders>
              <w:top w:val="single" w:color="auto" w:sz="4" w:space="0"/>
              <w:left w:val="single" w:color="auto" w:sz="4" w:space="0"/>
              <w:bottom w:val="single" w:color="auto" w:sz="4" w:space="0"/>
              <w:right w:val="single" w:color="auto" w:sz="4" w:space="0"/>
            </w:tcBorders>
            <w:vAlign w:val="center"/>
          </w:tcPr>
          <w:p w14:paraId="36C7B83C">
            <w:pPr>
              <w:topLinePunct/>
              <w:spacing w:line="300" w:lineRule="auto"/>
              <w:jc w:val="center"/>
              <w:rPr>
                <w:rFonts w:ascii="Times New Roman" w:hAnsi="Times New Roman"/>
                <w:color w:val="000000"/>
                <w:szCs w:val="21"/>
              </w:rPr>
            </w:pPr>
          </w:p>
        </w:tc>
      </w:tr>
      <w:tr w14:paraId="7F3A9C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4"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6B194F3E">
            <w:pPr>
              <w:topLinePunct/>
              <w:spacing w:line="300" w:lineRule="auto"/>
              <w:jc w:val="center"/>
              <w:rPr>
                <w:rFonts w:ascii="Times New Roman" w:hAnsi="Times New Roman"/>
                <w:color w:val="000000"/>
                <w:szCs w:val="21"/>
              </w:rPr>
            </w:pPr>
            <w:r>
              <w:rPr>
                <w:rFonts w:ascii="Times New Roman" w:hAnsi="Times New Roman"/>
                <w:color w:val="000000"/>
                <w:szCs w:val="21"/>
              </w:rPr>
              <w:t>营业执照号</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4501E5AC">
            <w:pPr>
              <w:topLinePunct/>
              <w:spacing w:line="300" w:lineRule="auto"/>
              <w:jc w:val="center"/>
              <w:rPr>
                <w:rFonts w:ascii="Times New Roman" w:hAnsi="Times New Roman"/>
                <w:color w:val="000000"/>
                <w:szCs w:val="21"/>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4D4E3E7">
            <w:pPr>
              <w:topLinePunct/>
              <w:spacing w:line="300" w:lineRule="auto"/>
              <w:jc w:val="center"/>
              <w:rPr>
                <w:rFonts w:ascii="Times New Roman" w:hAnsi="Times New Roman"/>
                <w:color w:val="000000"/>
                <w:szCs w:val="21"/>
              </w:rPr>
            </w:pPr>
          </w:p>
        </w:tc>
        <w:tc>
          <w:tcPr>
            <w:tcW w:w="2303" w:type="dxa"/>
            <w:gridSpan w:val="4"/>
            <w:tcBorders>
              <w:top w:val="single" w:color="auto" w:sz="4" w:space="0"/>
              <w:left w:val="single" w:color="auto" w:sz="4" w:space="0"/>
              <w:bottom w:val="single" w:color="auto" w:sz="4" w:space="0"/>
              <w:right w:val="single" w:color="auto" w:sz="4" w:space="0"/>
            </w:tcBorders>
            <w:vAlign w:val="center"/>
          </w:tcPr>
          <w:p w14:paraId="26380EC1">
            <w:pPr>
              <w:topLinePunct/>
              <w:spacing w:line="300" w:lineRule="auto"/>
              <w:jc w:val="center"/>
              <w:rPr>
                <w:rFonts w:ascii="Times New Roman" w:hAnsi="Times New Roman"/>
                <w:color w:val="000000"/>
                <w:szCs w:val="21"/>
              </w:rPr>
            </w:pPr>
            <w:r>
              <w:rPr>
                <w:rFonts w:ascii="Times New Roman" w:hAnsi="Times New Roman"/>
                <w:color w:val="000000"/>
                <w:szCs w:val="21"/>
              </w:rPr>
              <w:t>高级职称人员</w:t>
            </w:r>
          </w:p>
        </w:tc>
        <w:tc>
          <w:tcPr>
            <w:tcW w:w="1856" w:type="dxa"/>
            <w:gridSpan w:val="2"/>
            <w:tcBorders>
              <w:top w:val="single" w:color="auto" w:sz="4" w:space="0"/>
              <w:left w:val="single" w:color="auto" w:sz="4" w:space="0"/>
              <w:bottom w:val="single" w:color="auto" w:sz="4" w:space="0"/>
              <w:right w:val="single" w:color="auto" w:sz="4" w:space="0"/>
            </w:tcBorders>
            <w:vAlign w:val="center"/>
          </w:tcPr>
          <w:p w14:paraId="4F9AC313">
            <w:pPr>
              <w:topLinePunct/>
              <w:spacing w:line="300" w:lineRule="auto"/>
              <w:jc w:val="center"/>
              <w:rPr>
                <w:rFonts w:ascii="Times New Roman" w:hAnsi="Times New Roman"/>
                <w:color w:val="000000"/>
                <w:szCs w:val="21"/>
              </w:rPr>
            </w:pPr>
          </w:p>
        </w:tc>
      </w:tr>
      <w:tr w14:paraId="67D119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9"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06890FC1">
            <w:pPr>
              <w:topLinePunct/>
              <w:spacing w:line="300" w:lineRule="auto"/>
              <w:jc w:val="center"/>
              <w:rPr>
                <w:rFonts w:ascii="Times New Roman" w:hAnsi="Times New Roman"/>
                <w:color w:val="000000"/>
                <w:szCs w:val="21"/>
              </w:rPr>
            </w:pPr>
            <w:r>
              <w:rPr>
                <w:rFonts w:ascii="Times New Roman" w:hAnsi="Times New Roman"/>
                <w:color w:val="000000"/>
                <w:szCs w:val="21"/>
              </w:rPr>
              <w:t>注册资金</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532E241F">
            <w:pPr>
              <w:topLinePunct/>
              <w:spacing w:line="300" w:lineRule="auto"/>
              <w:jc w:val="center"/>
              <w:rPr>
                <w:rFonts w:ascii="Times New Roman" w:hAnsi="Times New Roman"/>
                <w:color w:val="000000"/>
                <w:szCs w:val="21"/>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2C2C9E44">
            <w:pPr>
              <w:topLinePunct/>
              <w:spacing w:line="300" w:lineRule="auto"/>
              <w:jc w:val="center"/>
              <w:rPr>
                <w:rFonts w:ascii="Times New Roman" w:hAnsi="Times New Roman"/>
                <w:color w:val="000000"/>
                <w:szCs w:val="21"/>
              </w:rPr>
            </w:pPr>
          </w:p>
        </w:tc>
        <w:tc>
          <w:tcPr>
            <w:tcW w:w="2303" w:type="dxa"/>
            <w:gridSpan w:val="4"/>
            <w:tcBorders>
              <w:top w:val="single" w:color="auto" w:sz="4" w:space="0"/>
              <w:left w:val="single" w:color="auto" w:sz="4" w:space="0"/>
              <w:bottom w:val="single" w:color="auto" w:sz="4" w:space="0"/>
              <w:right w:val="single" w:color="auto" w:sz="4" w:space="0"/>
            </w:tcBorders>
            <w:vAlign w:val="center"/>
          </w:tcPr>
          <w:p w14:paraId="46C06AD9">
            <w:pPr>
              <w:topLinePunct/>
              <w:spacing w:line="300" w:lineRule="auto"/>
              <w:jc w:val="center"/>
              <w:rPr>
                <w:rFonts w:ascii="Times New Roman" w:hAnsi="Times New Roman"/>
                <w:color w:val="000000"/>
                <w:szCs w:val="21"/>
              </w:rPr>
            </w:pPr>
            <w:r>
              <w:rPr>
                <w:rFonts w:ascii="Times New Roman" w:hAnsi="Times New Roman"/>
                <w:color w:val="000000"/>
                <w:szCs w:val="21"/>
              </w:rPr>
              <w:t>中级职称人员</w:t>
            </w:r>
          </w:p>
        </w:tc>
        <w:tc>
          <w:tcPr>
            <w:tcW w:w="1856" w:type="dxa"/>
            <w:gridSpan w:val="2"/>
            <w:tcBorders>
              <w:top w:val="single" w:color="auto" w:sz="4" w:space="0"/>
              <w:left w:val="single" w:color="auto" w:sz="4" w:space="0"/>
              <w:bottom w:val="single" w:color="auto" w:sz="4" w:space="0"/>
              <w:right w:val="single" w:color="auto" w:sz="4" w:space="0"/>
            </w:tcBorders>
            <w:vAlign w:val="center"/>
          </w:tcPr>
          <w:p w14:paraId="5ECFDFFF">
            <w:pPr>
              <w:topLinePunct/>
              <w:spacing w:line="300" w:lineRule="auto"/>
              <w:jc w:val="center"/>
              <w:rPr>
                <w:rFonts w:ascii="Times New Roman" w:hAnsi="Times New Roman"/>
                <w:color w:val="000000"/>
                <w:szCs w:val="21"/>
              </w:rPr>
            </w:pPr>
          </w:p>
        </w:tc>
      </w:tr>
      <w:tr w14:paraId="05C87B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8"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5BC536E7">
            <w:pPr>
              <w:topLinePunct/>
              <w:spacing w:line="300" w:lineRule="auto"/>
              <w:jc w:val="center"/>
              <w:rPr>
                <w:rFonts w:ascii="Times New Roman" w:hAnsi="Times New Roman"/>
                <w:color w:val="000000"/>
                <w:szCs w:val="21"/>
              </w:rPr>
            </w:pPr>
            <w:r>
              <w:rPr>
                <w:rFonts w:ascii="Times New Roman" w:hAnsi="Times New Roman"/>
                <w:color w:val="000000"/>
                <w:szCs w:val="21"/>
              </w:rPr>
              <w:t>开户银行</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37D82D23">
            <w:pPr>
              <w:topLinePunct/>
              <w:spacing w:line="300" w:lineRule="auto"/>
              <w:jc w:val="center"/>
              <w:rPr>
                <w:rFonts w:ascii="Times New Roman" w:hAnsi="Times New Roman"/>
                <w:color w:val="000000"/>
                <w:szCs w:val="21"/>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7B485CCC">
            <w:pPr>
              <w:topLinePunct/>
              <w:spacing w:line="300" w:lineRule="auto"/>
              <w:jc w:val="center"/>
              <w:rPr>
                <w:rFonts w:ascii="Times New Roman" w:hAnsi="Times New Roman"/>
                <w:color w:val="000000"/>
                <w:szCs w:val="21"/>
              </w:rPr>
            </w:pPr>
          </w:p>
        </w:tc>
        <w:tc>
          <w:tcPr>
            <w:tcW w:w="2303" w:type="dxa"/>
            <w:gridSpan w:val="4"/>
            <w:tcBorders>
              <w:top w:val="single" w:color="auto" w:sz="4" w:space="0"/>
              <w:left w:val="single" w:color="auto" w:sz="4" w:space="0"/>
              <w:bottom w:val="single" w:color="auto" w:sz="4" w:space="0"/>
              <w:right w:val="single" w:color="auto" w:sz="4" w:space="0"/>
            </w:tcBorders>
            <w:vAlign w:val="center"/>
          </w:tcPr>
          <w:p w14:paraId="221CEA15">
            <w:pPr>
              <w:topLinePunct/>
              <w:spacing w:line="300" w:lineRule="auto"/>
              <w:jc w:val="center"/>
              <w:rPr>
                <w:rFonts w:ascii="Times New Roman" w:hAnsi="Times New Roman"/>
                <w:color w:val="000000"/>
                <w:szCs w:val="21"/>
              </w:rPr>
            </w:pPr>
            <w:r>
              <w:rPr>
                <w:rFonts w:ascii="Times New Roman" w:hAnsi="Times New Roman"/>
                <w:color w:val="000000"/>
                <w:szCs w:val="21"/>
              </w:rPr>
              <w:t>初级职称人员</w:t>
            </w:r>
          </w:p>
        </w:tc>
        <w:tc>
          <w:tcPr>
            <w:tcW w:w="1856" w:type="dxa"/>
            <w:gridSpan w:val="2"/>
            <w:tcBorders>
              <w:top w:val="single" w:color="auto" w:sz="4" w:space="0"/>
              <w:left w:val="single" w:color="auto" w:sz="4" w:space="0"/>
              <w:bottom w:val="single" w:color="auto" w:sz="4" w:space="0"/>
              <w:right w:val="single" w:color="auto" w:sz="4" w:space="0"/>
            </w:tcBorders>
            <w:vAlign w:val="center"/>
          </w:tcPr>
          <w:p w14:paraId="4A4CF7BA">
            <w:pPr>
              <w:topLinePunct/>
              <w:spacing w:line="300" w:lineRule="auto"/>
              <w:jc w:val="center"/>
              <w:rPr>
                <w:rFonts w:ascii="Times New Roman" w:hAnsi="Times New Roman"/>
                <w:color w:val="000000"/>
                <w:szCs w:val="21"/>
              </w:rPr>
            </w:pPr>
          </w:p>
        </w:tc>
      </w:tr>
      <w:tr w14:paraId="125824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1"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7726864E">
            <w:pPr>
              <w:topLinePunct/>
              <w:spacing w:line="300" w:lineRule="auto"/>
              <w:jc w:val="center"/>
              <w:rPr>
                <w:rFonts w:ascii="Times New Roman" w:hAnsi="Times New Roman"/>
                <w:color w:val="000000"/>
                <w:szCs w:val="21"/>
              </w:rPr>
            </w:pPr>
            <w:r>
              <w:rPr>
                <w:rFonts w:ascii="Times New Roman" w:hAnsi="Times New Roman"/>
                <w:color w:val="000000"/>
                <w:szCs w:val="21"/>
              </w:rPr>
              <w:t>账号</w:t>
            </w:r>
          </w:p>
        </w:tc>
        <w:tc>
          <w:tcPr>
            <w:tcW w:w="1853" w:type="dxa"/>
            <w:gridSpan w:val="2"/>
            <w:tcBorders>
              <w:top w:val="single" w:color="auto" w:sz="4" w:space="0"/>
              <w:left w:val="single" w:color="auto" w:sz="4" w:space="0"/>
              <w:bottom w:val="single" w:color="auto" w:sz="4" w:space="0"/>
              <w:right w:val="single" w:color="auto" w:sz="4" w:space="0"/>
            </w:tcBorders>
            <w:vAlign w:val="center"/>
          </w:tcPr>
          <w:p w14:paraId="1BFB4896">
            <w:pPr>
              <w:topLinePunct/>
              <w:spacing w:line="300" w:lineRule="auto"/>
              <w:jc w:val="center"/>
              <w:rPr>
                <w:rFonts w:ascii="Times New Roman" w:hAnsi="Times New Roman"/>
                <w:color w:val="000000"/>
                <w:szCs w:val="21"/>
              </w:rPr>
            </w:pPr>
          </w:p>
        </w:tc>
        <w:tc>
          <w:tcPr>
            <w:tcW w:w="841" w:type="dxa"/>
            <w:vMerge w:val="continue"/>
            <w:tcBorders>
              <w:top w:val="single" w:color="auto" w:sz="4" w:space="0"/>
              <w:left w:val="single" w:color="auto" w:sz="4" w:space="0"/>
              <w:bottom w:val="single" w:color="auto" w:sz="4" w:space="0"/>
              <w:right w:val="single" w:color="auto" w:sz="4" w:space="0"/>
            </w:tcBorders>
            <w:vAlign w:val="center"/>
          </w:tcPr>
          <w:p w14:paraId="121C6BDA">
            <w:pPr>
              <w:topLinePunct/>
              <w:spacing w:line="300" w:lineRule="auto"/>
              <w:jc w:val="center"/>
              <w:rPr>
                <w:rFonts w:ascii="Times New Roman" w:hAnsi="Times New Roman"/>
                <w:color w:val="000000"/>
                <w:szCs w:val="21"/>
              </w:rPr>
            </w:pPr>
          </w:p>
        </w:tc>
        <w:tc>
          <w:tcPr>
            <w:tcW w:w="2303" w:type="dxa"/>
            <w:gridSpan w:val="4"/>
            <w:tcBorders>
              <w:top w:val="single" w:color="auto" w:sz="4" w:space="0"/>
              <w:left w:val="single" w:color="auto" w:sz="4" w:space="0"/>
              <w:bottom w:val="single" w:color="auto" w:sz="4" w:space="0"/>
              <w:right w:val="single" w:color="auto" w:sz="4" w:space="0"/>
            </w:tcBorders>
            <w:vAlign w:val="center"/>
          </w:tcPr>
          <w:p w14:paraId="67623700">
            <w:pPr>
              <w:topLinePunct/>
              <w:spacing w:line="300" w:lineRule="auto"/>
              <w:jc w:val="center"/>
              <w:rPr>
                <w:rFonts w:ascii="Times New Roman" w:hAnsi="Times New Roman"/>
                <w:color w:val="000000"/>
              </w:rPr>
            </w:pPr>
            <w:r>
              <w:rPr>
                <w:rFonts w:ascii="Times New Roman" w:hAnsi="Times New Roman"/>
                <w:color w:val="000000"/>
                <w:szCs w:val="21"/>
              </w:rPr>
              <w:t>技  工</w:t>
            </w:r>
          </w:p>
        </w:tc>
        <w:tc>
          <w:tcPr>
            <w:tcW w:w="1856" w:type="dxa"/>
            <w:gridSpan w:val="2"/>
            <w:tcBorders>
              <w:top w:val="single" w:color="auto" w:sz="4" w:space="0"/>
              <w:left w:val="single" w:color="auto" w:sz="4" w:space="0"/>
              <w:bottom w:val="single" w:color="auto" w:sz="4" w:space="0"/>
              <w:right w:val="single" w:color="auto" w:sz="4" w:space="0"/>
            </w:tcBorders>
            <w:vAlign w:val="center"/>
          </w:tcPr>
          <w:p w14:paraId="3DE4ECAB">
            <w:pPr>
              <w:topLinePunct/>
              <w:spacing w:line="300" w:lineRule="auto"/>
              <w:jc w:val="center"/>
              <w:rPr>
                <w:rFonts w:ascii="Times New Roman" w:hAnsi="Times New Roman"/>
                <w:color w:val="000000"/>
                <w:szCs w:val="21"/>
              </w:rPr>
            </w:pPr>
          </w:p>
        </w:tc>
      </w:tr>
      <w:tr w14:paraId="23F41A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6" w:hRule="atLeast"/>
          <w:jc w:val="center"/>
        </w:trPr>
        <w:tc>
          <w:tcPr>
            <w:tcW w:w="1731" w:type="dxa"/>
            <w:tcBorders>
              <w:top w:val="single" w:color="auto" w:sz="4" w:space="0"/>
              <w:left w:val="single" w:color="auto" w:sz="4" w:space="0"/>
              <w:right w:val="single" w:color="auto" w:sz="4" w:space="0"/>
            </w:tcBorders>
            <w:vAlign w:val="center"/>
          </w:tcPr>
          <w:p w14:paraId="5A82EDE9">
            <w:pPr>
              <w:topLinePunct/>
              <w:spacing w:line="300" w:lineRule="auto"/>
              <w:ind w:firstLine="210" w:firstLineChars="100"/>
              <w:jc w:val="center"/>
              <w:rPr>
                <w:rFonts w:ascii="Times New Roman" w:hAnsi="Times New Roman"/>
                <w:color w:val="000000"/>
                <w:szCs w:val="21"/>
              </w:rPr>
            </w:pPr>
            <w:r>
              <w:rPr>
                <w:rFonts w:ascii="Times New Roman" w:hAnsi="Times New Roman"/>
                <w:color w:val="000000"/>
                <w:szCs w:val="21"/>
              </w:rPr>
              <w:t>经营范围</w:t>
            </w:r>
          </w:p>
        </w:tc>
        <w:tc>
          <w:tcPr>
            <w:tcW w:w="6853" w:type="dxa"/>
            <w:gridSpan w:val="9"/>
            <w:tcBorders>
              <w:top w:val="single" w:color="auto" w:sz="4" w:space="0"/>
              <w:left w:val="single" w:color="auto" w:sz="4" w:space="0"/>
              <w:right w:val="single" w:color="auto" w:sz="4" w:space="0"/>
            </w:tcBorders>
            <w:vAlign w:val="center"/>
          </w:tcPr>
          <w:p w14:paraId="6BEDFC47">
            <w:pPr>
              <w:topLinePunct/>
              <w:spacing w:line="300" w:lineRule="auto"/>
              <w:rPr>
                <w:rFonts w:ascii="Times New Roman" w:hAnsi="Times New Roman"/>
                <w:color w:val="000000"/>
                <w:szCs w:val="21"/>
              </w:rPr>
            </w:pPr>
          </w:p>
        </w:tc>
      </w:tr>
      <w:tr w14:paraId="11A333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731" w:type="dxa"/>
            <w:tcBorders>
              <w:top w:val="single" w:color="auto" w:sz="4" w:space="0"/>
              <w:left w:val="single" w:color="auto" w:sz="4" w:space="0"/>
              <w:bottom w:val="single" w:color="auto" w:sz="4" w:space="0"/>
              <w:right w:val="single" w:color="auto" w:sz="4" w:space="0"/>
            </w:tcBorders>
            <w:vAlign w:val="center"/>
          </w:tcPr>
          <w:p w14:paraId="66AC005E">
            <w:pPr>
              <w:topLinePunct/>
              <w:spacing w:line="300" w:lineRule="auto"/>
              <w:jc w:val="center"/>
              <w:rPr>
                <w:rFonts w:ascii="Times New Roman" w:hAnsi="Times New Roman"/>
                <w:color w:val="000000"/>
                <w:szCs w:val="21"/>
              </w:rPr>
            </w:pPr>
            <w:r>
              <w:rPr>
                <w:rFonts w:ascii="Times New Roman" w:hAnsi="Times New Roman"/>
                <w:color w:val="000000"/>
                <w:szCs w:val="21"/>
              </w:rPr>
              <w:t>备注</w:t>
            </w:r>
          </w:p>
        </w:tc>
        <w:tc>
          <w:tcPr>
            <w:tcW w:w="6853" w:type="dxa"/>
            <w:gridSpan w:val="9"/>
            <w:tcBorders>
              <w:top w:val="single" w:color="auto" w:sz="4" w:space="0"/>
              <w:left w:val="single" w:color="auto" w:sz="4" w:space="0"/>
              <w:bottom w:val="single" w:color="auto" w:sz="4" w:space="0"/>
              <w:right w:val="single" w:color="auto" w:sz="4" w:space="0"/>
            </w:tcBorders>
            <w:vAlign w:val="center"/>
          </w:tcPr>
          <w:p w14:paraId="6F97123A">
            <w:pPr>
              <w:topLinePunct/>
              <w:spacing w:line="300" w:lineRule="auto"/>
              <w:jc w:val="center"/>
              <w:rPr>
                <w:rFonts w:ascii="Times New Roman" w:hAnsi="Times New Roman"/>
                <w:color w:val="000000"/>
                <w:szCs w:val="21"/>
              </w:rPr>
            </w:pPr>
          </w:p>
        </w:tc>
      </w:tr>
    </w:tbl>
    <w:p w14:paraId="3CFACBA0">
      <w:pPr>
        <w:spacing w:line="300" w:lineRule="auto"/>
        <w:rPr>
          <w:rFonts w:ascii="Times New Roman" w:hAnsi="Times New Roman" w:eastAsia="黑体"/>
          <w:color w:val="000000"/>
          <w:sz w:val="20"/>
        </w:rPr>
      </w:pPr>
      <w:bookmarkStart w:id="834" w:name="_Toc247514301"/>
      <w:bookmarkStart w:id="835" w:name="_Toc296602619"/>
      <w:bookmarkStart w:id="836" w:name="_Toc152045809"/>
      <w:bookmarkStart w:id="837" w:name="_Toc152042598"/>
      <w:bookmarkStart w:id="838" w:name="_Toc144974877"/>
      <w:bookmarkStart w:id="839" w:name="_Toc247527849"/>
      <w:bookmarkStart w:id="840" w:name="_Toc265953295"/>
      <w:bookmarkStart w:id="841" w:name="_Toc144974881"/>
      <w:bookmarkStart w:id="842" w:name="_Toc152045813"/>
      <w:bookmarkStart w:id="843" w:name="_Toc179632833"/>
      <w:bookmarkStart w:id="844" w:name="_Toc152042602"/>
    </w:p>
    <w:p w14:paraId="7C62A013">
      <w:pPr>
        <w:spacing w:line="300" w:lineRule="auto"/>
        <w:rPr>
          <w:rFonts w:ascii="Times New Roman" w:hAnsi="Times New Roman" w:eastAsia="黑体"/>
          <w:color w:val="000000"/>
          <w:sz w:val="24"/>
        </w:rPr>
      </w:pPr>
      <w:r>
        <w:rPr>
          <w:rFonts w:ascii="Times New Roman" w:hAnsi="Times New Roman" w:eastAsia="黑体"/>
          <w:color w:val="000000"/>
          <w:sz w:val="24"/>
        </w:rPr>
        <w:t>附企业资料复印件：</w:t>
      </w:r>
    </w:p>
    <w:p w14:paraId="6EA3E8C5">
      <w:pPr>
        <w:spacing w:line="300" w:lineRule="auto"/>
        <w:rPr>
          <w:rFonts w:ascii="Times New Roman" w:hAnsi="Times New Roman" w:eastAsia="黑体"/>
          <w:color w:val="000000"/>
          <w:sz w:val="24"/>
        </w:rPr>
      </w:pPr>
      <w:r>
        <w:rPr>
          <w:rFonts w:ascii="Times New Roman" w:hAnsi="Times New Roman" w:eastAsia="黑体"/>
          <w:color w:val="000000"/>
          <w:sz w:val="24"/>
        </w:rPr>
        <w:t>1、企业营业执照副本</w:t>
      </w:r>
    </w:p>
    <w:p w14:paraId="2125AEC0">
      <w:pPr>
        <w:spacing w:line="300" w:lineRule="auto"/>
        <w:rPr>
          <w:rFonts w:ascii="Times New Roman" w:hAnsi="Times New Roman" w:eastAsia="黑体"/>
          <w:color w:val="000000"/>
          <w:sz w:val="24"/>
        </w:rPr>
      </w:pPr>
      <w:r>
        <w:rPr>
          <w:rFonts w:ascii="Times New Roman" w:hAnsi="Times New Roman" w:eastAsia="黑体"/>
          <w:color w:val="000000"/>
          <w:sz w:val="24"/>
        </w:rPr>
        <w:t>2、企业资质等级证书副本</w:t>
      </w:r>
    </w:p>
    <w:p w14:paraId="3DADC5DB">
      <w:pPr>
        <w:spacing w:line="300" w:lineRule="auto"/>
        <w:rPr>
          <w:rFonts w:ascii="Times New Roman" w:hAnsi="Times New Roman" w:eastAsia="黑体"/>
          <w:color w:val="000000"/>
          <w:sz w:val="24"/>
        </w:rPr>
      </w:pPr>
      <w:r>
        <w:rPr>
          <w:rFonts w:ascii="Times New Roman" w:hAnsi="Times New Roman" w:eastAsia="黑体"/>
          <w:color w:val="000000"/>
          <w:sz w:val="24"/>
        </w:rPr>
        <w:t>3、企业安全生产许可证</w:t>
      </w:r>
    </w:p>
    <w:p w14:paraId="4E8C2EAF">
      <w:pPr>
        <w:spacing w:line="300" w:lineRule="auto"/>
        <w:rPr>
          <w:rFonts w:ascii="Times New Roman" w:hAnsi="Times New Roman" w:eastAsia="黑体"/>
          <w:color w:val="000000"/>
          <w:sz w:val="24"/>
        </w:rPr>
      </w:pPr>
      <w:r>
        <w:rPr>
          <w:rFonts w:ascii="Times New Roman" w:hAnsi="Times New Roman" w:eastAsia="黑体"/>
          <w:color w:val="000000"/>
          <w:sz w:val="24"/>
        </w:rPr>
        <w:t>4、施工企业主要负责人安全生产考核合格证</w:t>
      </w:r>
    </w:p>
    <w:p w14:paraId="72E7DE64">
      <w:pPr>
        <w:spacing w:line="300" w:lineRule="auto"/>
        <w:rPr>
          <w:rFonts w:ascii="Times New Roman" w:hAnsi="Times New Roman" w:eastAsia="黑体"/>
          <w:color w:val="000000"/>
          <w:sz w:val="24"/>
        </w:rPr>
      </w:pPr>
      <w:r>
        <w:rPr>
          <w:rFonts w:ascii="Times New Roman" w:hAnsi="Times New Roman" w:eastAsia="黑体"/>
          <w:color w:val="000000"/>
          <w:sz w:val="24"/>
        </w:rPr>
        <w:t>5、企业各项管理体系认证</w:t>
      </w:r>
    </w:p>
    <w:p w14:paraId="3FEA7330">
      <w:pPr>
        <w:spacing w:line="300" w:lineRule="auto"/>
        <w:rPr>
          <w:rFonts w:ascii="Times New Roman" w:hAnsi="Times New Roman" w:eastAsia="黑体"/>
          <w:color w:val="000000"/>
          <w:sz w:val="20"/>
          <w:szCs w:val="20"/>
        </w:rPr>
      </w:pPr>
      <w:r>
        <w:rPr>
          <w:rFonts w:ascii="Times New Roman" w:hAnsi="Times New Roman" w:eastAsia="黑体"/>
          <w:color w:val="000000"/>
          <w:sz w:val="24"/>
        </w:rPr>
        <w:t>6、企业荣誉</w:t>
      </w:r>
    </w:p>
    <w:p w14:paraId="2051C757">
      <w:pPr>
        <w:pStyle w:val="4"/>
        <w:spacing w:before="0" w:after="0" w:line="300" w:lineRule="auto"/>
        <w:jc w:val="center"/>
        <w:rPr>
          <w:color w:val="000000"/>
        </w:rPr>
      </w:pPr>
      <w:bookmarkStart w:id="845" w:name="_Toc17895"/>
      <w:bookmarkStart w:id="846" w:name="_Toc1681"/>
      <w:bookmarkStart w:id="847" w:name="_Toc20380"/>
      <w:r>
        <w:rPr>
          <w:color w:val="000000"/>
        </w:rPr>
        <w:t>（二）近三年财务状况</w:t>
      </w:r>
      <w:bookmarkEnd w:id="834"/>
      <w:bookmarkEnd w:id="835"/>
      <w:bookmarkEnd w:id="836"/>
      <w:bookmarkEnd w:id="837"/>
      <w:bookmarkEnd w:id="838"/>
      <w:bookmarkEnd w:id="839"/>
      <w:bookmarkEnd w:id="840"/>
      <w:bookmarkEnd w:id="845"/>
      <w:bookmarkEnd w:id="846"/>
      <w:bookmarkEnd w:id="847"/>
    </w:p>
    <w:p w14:paraId="7C591258">
      <w:pPr>
        <w:topLinePunct/>
        <w:spacing w:line="300" w:lineRule="auto"/>
        <w:ind w:firstLine="480" w:firstLineChars="200"/>
        <w:jc w:val="left"/>
        <w:rPr>
          <w:rFonts w:ascii="Times New Roman" w:hAnsi="Times New Roman"/>
          <w:color w:val="000000"/>
          <w:sz w:val="24"/>
        </w:rPr>
      </w:pPr>
      <w:r>
        <w:rPr>
          <w:rFonts w:ascii="Times New Roman" w:hAnsi="Times New Roman"/>
          <w:color w:val="000000"/>
          <w:sz w:val="24"/>
        </w:rPr>
        <w:t>近三年财务状况良好的证明材料（资产负债表、现金流量表、利润表、财务情况说明书、银行资信证明等均可）</w:t>
      </w:r>
    </w:p>
    <w:p w14:paraId="0021AD96">
      <w:pPr>
        <w:pStyle w:val="4"/>
        <w:spacing w:before="0" w:after="0" w:line="300" w:lineRule="auto"/>
        <w:jc w:val="center"/>
        <w:rPr>
          <w:color w:val="000000"/>
        </w:rPr>
      </w:pPr>
      <w:bookmarkStart w:id="848" w:name="_Toc247514302"/>
      <w:bookmarkStart w:id="849" w:name="_Toc247527850"/>
      <w:bookmarkStart w:id="850" w:name="_Toc265953296"/>
      <w:bookmarkStart w:id="851" w:name="_Toc152042599"/>
      <w:bookmarkStart w:id="852" w:name="_Toc152045810"/>
      <w:bookmarkStart w:id="853" w:name="_Toc296602620"/>
      <w:bookmarkStart w:id="854" w:name="_Toc144974878"/>
    </w:p>
    <w:p w14:paraId="270D1176">
      <w:pPr>
        <w:pStyle w:val="4"/>
        <w:spacing w:before="0" w:after="0" w:line="300" w:lineRule="auto"/>
        <w:jc w:val="center"/>
        <w:rPr>
          <w:color w:val="000000"/>
          <w:sz w:val="23"/>
          <w:szCs w:val="23"/>
        </w:rPr>
      </w:pPr>
      <w:bookmarkStart w:id="855" w:name="_Toc32755"/>
      <w:bookmarkStart w:id="856" w:name="_Toc27603"/>
      <w:bookmarkStart w:id="857" w:name="_Toc25717"/>
      <w:r>
        <w:rPr>
          <w:color w:val="000000"/>
        </w:rPr>
        <w:t>（三）近</w:t>
      </w:r>
      <w:r>
        <w:rPr>
          <w:rFonts w:hint="eastAsia"/>
          <w:color w:val="000000"/>
        </w:rPr>
        <w:t>三</w:t>
      </w:r>
      <w:r>
        <w:rPr>
          <w:color w:val="000000"/>
        </w:rPr>
        <w:t>年完成的类似项目情况表</w:t>
      </w:r>
      <w:bookmarkEnd w:id="848"/>
      <w:bookmarkEnd w:id="849"/>
      <w:bookmarkEnd w:id="850"/>
      <w:bookmarkEnd w:id="851"/>
      <w:bookmarkEnd w:id="852"/>
      <w:bookmarkEnd w:id="853"/>
      <w:bookmarkEnd w:id="854"/>
      <w:bookmarkEnd w:id="855"/>
      <w:bookmarkEnd w:id="856"/>
      <w:bookmarkEnd w:id="857"/>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8"/>
        <w:gridCol w:w="6449"/>
      </w:tblGrid>
      <w:tr w14:paraId="752B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2258" w:type="dxa"/>
            <w:vAlign w:val="center"/>
          </w:tcPr>
          <w:p w14:paraId="3B6397A9">
            <w:pPr>
              <w:topLinePunct/>
              <w:spacing w:line="300" w:lineRule="auto"/>
              <w:jc w:val="center"/>
              <w:rPr>
                <w:rFonts w:ascii="Times New Roman" w:hAnsi="Times New Roman"/>
                <w:color w:val="000000"/>
                <w:szCs w:val="21"/>
              </w:rPr>
            </w:pPr>
            <w:r>
              <w:rPr>
                <w:rFonts w:ascii="Times New Roman" w:hAnsi="Times New Roman"/>
                <w:color w:val="000000"/>
                <w:szCs w:val="21"/>
              </w:rPr>
              <w:t>项目名称</w:t>
            </w:r>
          </w:p>
        </w:tc>
        <w:tc>
          <w:tcPr>
            <w:tcW w:w="6449" w:type="dxa"/>
          </w:tcPr>
          <w:p w14:paraId="76BE14AB">
            <w:pPr>
              <w:topLinePunct/>
              <w:spacing w:line="300" w:lineRule="auto"/>
              <w:rPr>
                <w:rFonts w:ascii="Times New Roman" w:hAnsi="Times New Roman"/>
                <w:color w:val="000000"/>
                <w:szCs w:val="21"/>
              </w:rPr>
            </w:pPr>
          </w:p>
        </w:tc>
      </w:tr>
      <w:tr w14:paraId="1897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2258" w:type="dxa"/>
            <w:vAlign w:val="center"/>
          </w:tcPr>
          <w:p w14:paraId="2F89F9D6">
            <w:pPr>
              <w:topLinePunct/>
              <w:spacing w:line="300" w:lineRule="auto"/>
              <w:jc w:val="center"/>
              <w:rPr>
                <w:rFonts w:ascii="Times New Roman" w:hAnsi="Times New Roman"/>
                <w:color w:val="000000"/>
                <w:szCs w:val="21"/>
              </w:rPr>
            </w:pPr>
            <w:r>
              <w:rPr>
                <w:rFonts w:ascii="Times New Roman" w:hAnsi="Times New Roman"/>
                <w:color w:val="000000"/>
                <w:szCs w:val="21"/>
              </w:rPr>
              <w:t>项目所在地</w:t>
            </w:r>
          </w:p>
        </w:tc>
        <w:tc>
          <w:tcPr>
            <w:tcW w:w="6449" w:type="dxa"/>
          </w:tcPr>
          <w:p w14:paraId="5B424681">
            <w:pPr>
              <w:topLinePunct/>
              <w:spacing w:line="300" w:lineRule="auto"/>
              <w:rPr>
                <w:rFonts w:ascii="Times New Roman" w:hAnsi="Times New Roman"/>
                <w:color w:val="000000"/>
                <w:szCs w:val="21"/>
              </w:rPr>
            </w:pPr>
          </w:p>
        </w:tc>
      </w:tr>
      <w:tr w14:paraId="28DC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258" w:type="dxa"/>
            <w:vAlign w:val="center"/>
          </w:tcPr>
          <w:p w14:paraId="0EB370EA">
            <w:pPr>
              <w:topLinePunct/>
              <w:spacing w:line="300" w:lineRule="auto"/>
              <w:jc w:val="center"/>
              <w:rPr>
                <w:rFonts w:ascii="Times New Roman" w:hAnsi="Times New Roman"/>
                <w:color w:val="000000"/>
                <w:szCs w:val="21"/>
              </w:rPr>
            </w:pPr>
            <w:r>
              <w:rPr>
                <w:rFonts w:ascii="Times New Roman" w:hAnsi="Times New Roman"/>
                <w:color w:val="000000"/>
                <w:szCs w:val="21"/>
              </w:rPr>
              <w:t>发包人名称</w:t>
            </w:r>
          </w:p>
        </w:tc>
        <w:tc>
          <w:tcPr>
            <w:tcW w:w="6449" w:type="dxa"/>
          </w:tcPr>
          <w:p w14:paraId="14FF7FF3">
            <w:pPr>
              <w:topLinePunct/>
              <w:spacing w:line="300" w:lineRule="auto"/>
              <w:rPr>
                <w:rFonts w:ascii="Times New Roman" w:hAnsi="Times New Roman"/>
                <w:color w:val="000000"/>
                <w:szCs w:val="21"/>
              </w:rPr>
            </w:pPr>
          </w:p>
        </w:tc>
      </w:tr>
      <w:tr w14:paraId="7061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2258" w:type="dxa"/>
            <w:vAlign w:val="center"/>
          </w:tcPr>
          <w:p w14:paraId="27FFD782">
            <w:pPr>
              <w:topLinePunct/>
              <w:spacing w:line="300" w:lineRule="auto"/>
              <w:jc w:val="center"/>
              <w:rPr>
                <w:rFonts w:ascii="Times New Roman" w:hAnsi="Times New Roman"/>
                <w:color w:val="000000"/>
                <w:szCs w:val="21"/>
              </w:rPr>
            </w:pPr>
            <w:r>
              <w:rPr>
                <w:rFonts w:ascii="Times New Roman" w:hAnsi="Times New Roman"/>
                <w:color w:val="000000"/>
                <w:szCs w:val="21"/>
              </w:rPr>
              <w:t>发包人地址</w:t>
            </w:r>
          </w:p>
        </w:tc>
        <w:tc>
          <w:tcPr>
            <w:tcW w:w="6449" w:type="dxa"/>
          </w:tcPr>
          <w:p w14:paraId="1CFB510C">
            <w:pPr>
              <w:topLinePunct/>
              <w:spacing w:line="300" w:lineRule="auto"/>
              <w:rPr>
                <w:rFonts w:ascii="Times New Roman" w:hAnsi="Times New Roman"/>
                <w:color w:val="000000"/>
                <w:szCs w:val="21"/>
              </w:rPr>
            </w:pPr>
          </w:p>
        </w:tc>
      </w:tr>
      <w:tr w14:paraId="5E38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258" w:type="dxa"/>
            <w:vAlign w:val="center"/>
          </w:tcPr>
          <w:p w14:paraId="54CBD87C">
            <w:pPr>
              <w:topLinePunct/>
              <w:spacing w:line="300" w:lineRule="auto"/>
              <w:jc w:val="center"/>
              <w:rPr>
                <w:rFonts w:ascii="Times New Roman" w:hAnsi="Times New Roman"/>
                <w:color w:val="000000"/>
                <w:szCs w:val="21"/>
              </w:rPr>
            </w:pPr>
            <w:r>
              <w:rPr>
                <w:rFonts w:ascii="Times New Roman" w:hAnsi="Times New Roman"/>
                <w:color w:val="000000"/>
                <w:szCs w:val="21"/>
              </w:rPr>
              <w:t>发包人电话</w:t>
            </w:r>
          </w:p>
        </w:tc>
        <w:tc>
          <w:tcPr>
            <w:tcW w:w="6449" w:type="dxa"/>
          </w:tcPr>
          <w:p w14:paraId="2B3D0010">
            <w:pPr>
              <w:topLinePunct/>
              <w:spacing w:line="300" w:lineRule="auto"/>
              <w:rPr>
                <w:rFonts w:ascii="Times New Roman" w:hAnsi="Times New Roman"/>
                <w:color w:val="000000"/>
                <w:szCs w:val="21"/>
              </w:rPr>
            </w:pPr>
          </w:p>
        </w:tc>
      </w:tr>
      <w:tr w14:paraId="36EC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258" w:type="dxa"/>
            <w:vAlign w:val="center"/>
          </w:tcPr>
          <w:p w14:paraId="2DE3675E">
            <w:pPr>
              <w:topLinePunct/>
              <w:spacing w:line="300" w:lineRule="auto"/>
              <w:jc w:val="center"/>
              <w:rPr>
                <w:rFonts w:ascii="Times New Roman" w:hAnsi="Times New Roman"/>
                <w:color w:val="000000"/>
                <w:szCs w:val="21"/>
              </w:rPr>
            </w:pPr>
            <w:r>
              <w:rPr>
                <w:rFonts w:ascii="Times New Roman" w:hAnsi="Times New Roman"/>
                <w:color w:val="000000"/>
                <w:szCs w:val="21"/>
              </w:rPr>
              <w:t>合同价格</w:t>
            </w:r>
          </w:p>
        </w:tc>
        <w:tc>
          <w:tcPr>
            <w:tcW w:w="6449" w:type="dxa"/>
          </w:tcPr>
          <w:p w14:paraId="08015A2B">
            <w:pPr>
              <w:topLinePunct/>
              <w:spacing w:line="300" w:lineRule="auto"/>
              <w:rPr>
                <w:rFonts w:ascii="Times New Roman" w:hAnsi="Times New Roman"/>
                <w:color w:val="000000"/>
                <w:szCs w:val="21"/>
              </w:rPr>
            </w:pPr>
          </w:p>
        </w:tc>
      </w:tr>
      <w:tr w14:paraId="0242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258" w:type="dxa"/>
            <w:vAlign w:val="center"/>
          </w:tcPr>
          <w:p w14:paraId="35CE39B9">
            <w:pPr>
              <w:topLinePunct/>
              <w:spacing w:line="300" w:lineRule="auto"/>
              <w:jc w:val="center"/>
              <w:rPr>
                <w:rFonts w:ascii="Times New Roman" w:hAnsi="Times New Roman"/>
                <w:color w:val="000000"/>
                <w:szCs w:val="21"/>
              </w:rPr>
            </w:pPr>
            <w:r>
              <w:rPr>
                <w:rFonts w:ascii="Times New Roman" w:hAnsi="Times New Roman"/>
                <w:color w:val="000000"/>
                <w:szCs w:val="21"/>
              </w:rPr>
              <w:t>开工日期</w:t>
            </w:r>
          </w:p>
        </w:tc>
        <w:tc>
          <w:tcPr>
            <w:tcW w:w="6449" w:type="dxa"/>
          </w:tcPr>
          <w:p w14:paraId="43893850">
            <w:pPr>
              <w:topLinePunct/>
              <w:spacing w:line="300" w:lineRule="auto"/>
              <w:rPr>
                <w:rFonts w:ascii="Times New Roman" w:hAnsi="Times New Roman"/>
                <w:color w:val="000000"/>
                <w:szCs w:val="21"/>
              </w:rPr>
            </w:pPr>
          </w:p>
        </w:tc>
      </w:tr>
      <w:tr w14:paraId="36F4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258" w:type="dxa"/>
            <w:vAlign w:val="center"/>
          </w:tcPr>
          <w:p w14:paraId="3E001D42">
            <w:pPr>
              <w:topLinePunct/>
              <w:spacing w:line="300" w:lineRule="auto"/>
              <w:jc w:val="center"/>
              <w:rPr>
                <w:rFonts w:ascii="Times New Roman" w:hAnsi="Times New Roman"/>
                <w:color w:val="000000"/>
                <w:szCs w:val="21"/>
              </w:rPr>
            </w:pPr>
            <w:r>
              <w:rPr>
                <w:rFonts w:ascii="Times New Roman" w:hAnsi="Times New Roman"/>
                <w:color w:val="000000"/>
              </w:rPr>
              <w:t>竣工</w:t>
            </w:r>
            <w:r>
              <w:rPr>
                <w:rFonts w:ascii="Times New Roman" w:hAnsi="Times New Roman"/>
                <w:color w:val="000000"/>
                <w:szCs w:val="21"/>
              </w:rPr>
              <w:t>日期</w:t>
            </w:r>
          </w:p>
        </w:tc>
        <w:tc>
          <w:tcPr>
            <w:tcW w:w="6449" w:type="dxa"/>
          </w:tcPr>
          <w:p w14:paraId="256F3942">
            <w:pPr>
              <w:topLinePunct/>
              <w:spacing w:line="300" w:lineRule="auto"/>
              <w:rPr>
                <w:rFonts w:ascii="Times New Roman" w:hAnsi="Times New Roman"/>
                <w:color w:val="000000"/>
                <w:szCs w:val="21"/>
              </w:rPr>
            </w:pPr>
          </w:p>
        </w:tc>
      </w:tr>
      <w:tr w14:paraId="1517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2258" w:type="dxa"/>
            <w:vAlign w:val="center"/>
          </w:tcPr>
          <w:p w14:paraId="58140E0F">
            <w:pPr>
              <w:topLinePunct/>
              <w:spacing w:line="300" w:lineRule="auto"/>
              <w:jc w:val="center"/>
              <w:rPr>
                <w:rFonts w:ascii="Times New Roman" w:hAnsi="Times New Roman"/>
                <w:color w:val="000000"/>
                <w:szCs w:val="21"/>
              </w:rPr>
            </w:pPr>
            <w:r>
              <w:rPr>
                <w:rFonts w:ascii="Times New Roman" w:hAnsi="Times New Roman"/>
                <w:color w:val="000000"/>
                <w:szCs w:val="21"/>
              </w:rPr>
              <w:t>承担的工作</w:t>
            </w:r>
          </w:p>
        </w:tc>
        <w:tc>
          <w:tcPr>
            <w:tcW w:w="6449" w:type="dxa"/>
          </w:tcPr>
          <w:p w14:paraId="146C2D6B">
            <w:pPr>
              <w:topLinePunct/>
              <w:spacing w:line="300" w:lineRule="auto"/>
              <w:rPr>
                <w:rFonts w:ascii="Times New Roman" w:hAnsi="Times New Roman"/>
                <w:color w:val="000000"/>
                <w:szCs w:val="21"/>
              </w:rPr>
            </w:pPr>
          </w:p>
        </w:tc>
      </w:tr>
      <w:tr w14:paraId="2C38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2258" w:type="dxa"/>
            <w:vAlign w:val="center"/>
          </w:tcPr>
          <w:p w14:paraId="3304F8B6">
            <w:pPr>
              <w:topLinePunct/>
              <w:spacing w:line="300" w:lineRule="auto"/>
              <w:jc w:val="center"/>
              <w:rPr>
                <w:rFonts w:ascii="Times New Roman" w:hAnsi="Times New Roman"/>
                <w:color w:val="000000"/>
                <w:szCs w:val="21"/>
              </w:rPr>
            </w:pPr>
            <w:r>
              <w:rPr>
                <w:rFonts w:ascii="Times New Roman" w:hAnsi="Times New Roman"/>
                <w:color w:val="000000"/>
                <w:szCs w:val="21"/>
              </w:rPr>
              <w:t>工程质量</w:t>
            </w:r>
          </w:p>
        </w:tc>
        <w:tc>
          <w:tcPr>
            <w:tcW w:w="6449" w:type="dxa"/>
          </w:tcPr>
          <w:p w14:paraId="60C622FA">
            <w:pPr>
              <w:topLinePunct/>
              <w:spacing w:line="300" w:lineRule="auto"/>
              <w:rPr>
                <w:rFonts w:ascii="Times New Roman" w:hAnsi="Times New Roman"/>
                <w:color w:val="000000"/>
                <w:szCs w:val="21"/>
              </w:rPr>
            </w:pPr>
          </w:p>
        </w:tc>
      </w:tr>
      <w:tr w14:paraId="13E0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258" w:type="dxa"/>
            <w:vAlign w:val="center"/>
          </w:tcPr>
          <w:p w14:paraId="148D8BDB">
            <w:pPr>
              <w:topLinePunct/>
              <w:spacing w:line="300" w:lineRule="auto"/>
              <w:jc w:val="center"/>
              <w:rPr>
                <w:rFonts w:ascii="Times New Roman" w:hAnsi="Times New Roman"/>
                <w:color w:val="000000"/>
                <w:szCs w:val="21"/>
              </w:rPr>
            </w:pPr>
            <w:r>
              <w:rPr>
                <w:rFonts w:ascii="Times New Roman" w:hAnsi="Times New Roman"/>
                <w:color w:val="000000"/>
                <w:szCs w:val="21"/>
              </w:rPr>
              <w:t>项目经理</w:t>
            </w:r>
          </w:p>
        </w:tc>
        <w:tc>
          <w:tcPr>
            <w:tcW w:w="6449" w:type="dxa"/>
          </w:tcPr>
          <w:p w14:paraId="153B029D">
            <w:pPr>
              <w:topLinePunct/>
              <w:spacing w:line="300" w:lineRule="auto"/>
              <w:rPr>
                <w:rFonts w:ascii="Times New Roman" w:hAnsi="Times New Roman"/>
                <w:color w:val="000000"/>
                <w:szCs w:val="21"/>
              </w:rPr>
            </w:pPr>
          </w:p>
        </w:tc>
      </w:tr>
      <w:tr w14:paraId="13D2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2258" w:type="dxa"/>
            <w:vAlign w:val="center"/>
          </w:tcPr>
          <w:p w14:paraId="13A28105">
            <w:pPr>
              <w:topLinePunct/>
              <w:spacing w:line="300" w:lineRule="auto"/>
              <w:jc w:val="center"/>
              <w:rPr>
                <w:rFonts w:ascii="Times New Roman" w:hAnsi="Times New Roman"/>
                <w:color w:val="000000"/>
                <w:szCs w:val="21"/>
              </w:rPr>
            </w:pPr>
            <w:r>
              <w:rPr>
                <w:rFonts w:ascii="Times New Roman" w:hAnsi="Times New Roman"/>
                <w:color w:val="000000"/>
                <w:szCs w:val="21"/>
              </w:rPr>
              <w:t>技术负责人</w:t>
            </w:r>
          </w:p>
        </w:tc>
        <w:tc>
          <w:tcPr>
            <w:tcW w:w="6449" w:type="dxa"/>
          </w:tcPr>
          <w:p w14:paraId="5C3C63EC">
            <w:pPr>
              <w:topLinePunct/>
              <w:spacing w:line="300" w:lineRule="auto"/>
              <w:rPr>
                <w:rFonts w:ascii="Times New Roman" w:hAnsi="Times New Roman"/>
                <w:color w:val="000000"/>
                <w:szCs w:val="21"/>
              </w:rPr>
            </w:pPr>
          </w:p>
        </w:tc>
      </w:tr>
      <w:tr w14:paraId="42CB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2258" w:type="dxa"/>
            <w:vAlign w:val="center"/>
          </w:tcPr>
          <w:p w14:paraId="037C561E">
            <w:pPr>
              <w:topLinePunct/>
              <w:spacing w:line="300" w:lineRule="auto"/>
              <w:jc w:val="center"/>
              <w:rPr>
                <w:rFonts w:ascii="Times New Roman" w:hAnsi="Times New Roman"/>
                <w:color w:val="000000"/>
                <w:szCs w:val="21"/>
              </w:rPr>
            </w:pPr>
            <w:r>
              <w:rPr>
                <w:rFonts w:ascii="Times New Roman" w:hAnsi="Times New Roman"/>
                <w:color w:val="000000"/>
                <w:szCs w:val="21"/>
              </w:rPr>
              <w:t>项目描述</w:t>
            </w:r>
          </w:p>
        </w:tc>
        <w:tc>
          <w:tcPr>
            <w:tcW w:w="6449" w:type="dxa"/>
          </w:tcPr>
          <w:p w14:paraId="54007A30">
            <w:pPr>
              <w:topLinePunct/>
              <w:spacing w:line="300" w:lineRule="auto"/>
              <w:rPr>
                <w:rFonts w:ascii="Times New Roman" w:hAnsi="Times New Roman"/>
                <w:color w:val="000000"/>
                <w:szCs w:val="21"/>
              </w:rPr>
            </w:pPr>
          </w:p>
          <w:p w14:paraId="315C739B">
            <w:pPr>
              <w:topLinePunct/>
              <w:spacing w:line="300" w:lineRule="auto"/>
              <w:rPr>
                <w:rFonts w:ascii="Times New Roman" w:hAnsi="Times New Roman"/>
                <w:color w:val="000000"/>
                <w:szCs w:val="21"/>
              </w:rPr>
            </w:pPr>
          </w:p>
        </w:tc>
      </w:tr>
      <w:tr w14:paraId="41DEB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258" w:type="dxa"/>
            <w:vAlign w:val="center"/>
          </w:tcPr>
          <w:p w14:paraId="2127780A">
            <w:pPr>
              <w:topLinePunct/>
              <w:spacing w:line="300" w:lineRule="auto"/>
              <w:jc w:val="center"/>
              <w:rPr>
                <w:rFonts w:ascii="Times New Roman" w:hAnsi="Times New Roman"/>
                <w:color w:val="000000"/>
                <w:szCs w:val="21"/>
              </w:rPr>
            </w:pPr>
            <w:r>
              <w:rPr>
                <w:rFonts w:ascii="Times New Roman" w:hAnsi="Times New Roman"/>
                <w:color w:val="000000"/>
                <w:szCs w:val="21"/>
              </w:rPr>
              <w:t>备注</w:t>
            </w:r>
          </w:p>
        </w:tc>
        <w:tc>
          <w:tcPr>
            <w:tcW w:w="6449" w:type="dxa"/>
          </w:tcPr>
          <w:p w14:paraId="0234E26A">
            <w:pPr>
              <w:topLinePunct/>
              <w:spacing w:line="300" w:lineRule="auto"/>
              <w:rPr>
                <w:rFonts w:ascii="Times New Roman" w:hAnsi="Times New Roman"/>
                <w:color w:val="000000"/>
                <w:szCs w:val="21"/>
              </w:rPr>
            </w:pPr>
          </w:p>
        </w:tc>
      </w:tr>
    </w:tbl>
    <w:p w14:paraId="0918D244">
      <w:pPr>
        <w:topLinePunct/>
        <w:spacing w:line="300" w:lineRule="auto"/>
        <w:ind w:firstLine="420" w:firstLineChars="200"/>
        <w:jc w:val="left"/>
        <w:rPr>
          <w:rFonts w:ascii="Times New Roman" w:hAnsi="Times New Roman"/>
          <w:color w:val="000000"/>
        </w:rPr>
      </w:pPr>
      <w:r>
        <w:rPr>
          <w:rFonts w:ascii="Times New Roman" w:hAnsi="Times New Roman"/>
          <w:color w:val="000000"/>
        </w:rPr>
        <w:t>应附中标通知书或合同协议书，且附工程接收证书（工程竣工验收证书）原件及复印件，具体年份要求见须知前附表。</w:t>
      </w:r>
    </w:p>
    <w:p w14:paraId="18473C45">
      <w:pPr>
        <w:pStyle w:val="4"/>
        <w:spacing w:before="0" w:after="0" w:line="300" w:lineRule="auto"/>
        <w:jc w:val="center"/>
        <w:rPr>
          <w:color w:val="000000"/>
        </w:rPr>
      </w:pPr>
      <w:bookmarkStart w:id="858" w:name="_Toc179632831"/>
      <w:bookmarkStart w:id="859" w:name="_Toc6345"/>
      <w:bookmarkStart w:id="860" w:name="_Toc12069"/>
      <w:bookmarkStart w:id="861" w:name="_Toc9631"/>
      <w:r>
        <w:rPr>
          <w:color w:val="000000"/>
        </w:rPr>
        <w:t>（四）正在施工的和新承接的项目情况表</w:t>
      </w:r>
      <w:bookmarkEnd w:id="858"/>
      <w:bookmarkEnd w:id="859"/>
      <w:bookmarkEnd w:id="860"/>
      <w:bookmarkEnd w:id="861"/>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9"/>
        <w:gridCol w:w="6403"/>
      </w:tblGrid>
      <w:tr w14:paraId="0F99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19" w:type="dxa"/>
            <w:vAlign w:val="center"/>
          </w:tcPr>
          <w:p w14:paraId="7FDFD411">
            <w:pPr>
              <w:topLinePunct/>
              <w:spacing w:line="300" w:lineRule="auto"/>
              <w:jc w:val="center"/>
              <w:rPr>
                <w:rFonts w:ascii="Times New Roman" w:hAnsi="Times New Roman"/>
                <w:color w:val="000000"/>
                <w:szCs w:val="21"/>
              </w:rPr>
            </w:pPr>
            <w:r>
              <w:rPr>
                <w:rFonts w:ascii="Times New Roman" w:hAnsi="Times New Roman"/>
                <w:color w:val="000000"/>
                <w:szCs w:val="21"/>
              </w:rPr>
              <w:t>项目名称</w:t>
            </w:r>
          </w:p>
        </w:tc>
        <w:tc>
          <w:tcPr>
            <w:tcW w:w="6403" w:type="dxa"/>
          </w:tcPr>
          <w:p w14:paraId="48D7886F">
            <w:pPr>
              <w:topLinePunct/>
              <w:spacing w:line="300" w:lineRule="auto"/>
              <w:rPr>
                <w:rFonts w:ascii="Times New Roman" w:hAnsi="Times New Roman"/>
                <w:color w:val="000000"/>
                <w:szCs w:val="21"/>
              </w:rPr>
            </w:pPr>
          </w:p>
        </w:tc>
      </w:tr>
      <w:tr w14:paraId="6CBB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119" w:type="dxa"/>
            <w:vAlign w:val="center"/>
          </w:tcPr>
          <w:p w14:paraId="20E68D7F">
            <w:pPr>
              <w:topLinePunct/>
              <w:spacing w:line="300" w:lineRule="auto"/>
              <w:jc w:val="center"/>
              <w:rPr>
                <w:rFonts w:ascii="Times New Roman" w:hAnsi="Times New Roman"/>
                <w:color w:val="000000"/>
                <w:szCs w:val="21"/>
              </w:rPr>
            </w:pPr>
            <w:r>
              <w:rPr>
                <w:rFonts w:ascii="Times New Roman" w:hAnsi="Times New Roman"/>
                <w:color w:val="000000"/>
                <w:szCs w:val="21"/>
              </w:rPr>
              <w:t>项目所在地</w:t>
            </w:r>
          </w:p>
        </w:tc>
        <w:tc>
          <w:tcPr>
            <w:tcW w:w="6403" w:type="dxa"/>
          </w:tcPr>
          <w:p w14:paraId="47CF09E4">
            <w:pPr>
              <w:topLinePunct/>
              <w:spacing w:line="300" w:lineRule="auto"/>
              <w:rPr>
                <w:rFonts w:ascii="Times New Roman" w:hAnsi="Times New Roman"/>
                <w:color w:val="000000"/>
                <w:szCs w:val="21"/>
              </w:rPr>
            </w:pPr>
          </w:p>
        </w:tc>
      </w:tr>
      <w:tr w14:paraId="7946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19" w:type="dxa"/>
            <w:vAlign w:val="center"/>
          </w:tcPr>
          <w:p w14:paraId="6A2AFE17">
            <w:pPr>
              <w:topLinePunct/>
              <w:spacing w:line="300" w:lineRule="auto"/>
              <w:jc w:val="center"/>
              <w:rPr>
                <w:rFonts w:ascii="Times New Roman" w:hAnsi="Times New Roman"/>
                <w:color w:val="000000"/>
                <w:szCs w:val="21"/>
              </w:rPr>
            </w:pPr>
            <w:r>
              <w:rPr>
                <w:rFonts w:ascii="Times New Roman" w:hAnsi="Times New Roman"/>
                <w:color w:val="000000"/>
                <w:szCs w:val="21"/>
              </w:rPr>
              <w:t>发包人名称</w:t>
            </w:r>
          </w:p>
        </w:tc>
        <w:tc>
          <w:tcPr>
            <w:tcW w:w="6403" w:type="dxa"/>
          </w:tcPr>
          <w:p w14:paraId="0E62A455">
            <w:pPr>
              <w:topLinePunct/>
              <w:spacing w:line="300" w:lineRule="auto"/>
              <w:rPr>
                <w:rFonts w:ascii="Times New Roman" w:hAnsi="Times New Roman"/>
                <w:color w:val="000000"/>
                <w:szCs w:val="21"/>
              </w:rPr>
            </w:pPr>
          </w:p>
        </w:tc>
      </w:tr>
      <w:tr w14:paraId="5AEE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119" w:type="dxa"/>
            <w:vAlign w:val="center"/>
          </w:tcPr>
          <w:p w14:paraId="330659AC">
            <w:pPr>
              <w:topLinePunct/>
              <w:spacing w:line="300" w:lineRule="auto"/>
              <w:jc w:val="center"/>
              <w:rPr>
                <w:rFonts w:ascii="Times New Roman" w:hAnsi="Times New Roman"/>
                <w:color w:val="000000"/>
                <w:szCs w:val="21"/>
              </w:rPr>
            </w:pPr>
            <w:r>
              <w:rPr>
                <w:rFonts w:ascii="Times New Roman" w:hAnsi="Times New Roman"/>
                <w:color w:val="000000"/>
                <w:szCs w:val="21"/>
              </w:rPr>
              <w:t>发包人地址</w:t>
            </w:r>
          </w:p>
        </w:tc>
        <w:tc>
          <w:tcPr>
            <w:tcW w:w="6403" w:type="dxa"/>
          </w:tcPr>
          <w:p w14:paraId="15AAF7B9">
            <w:pPr>
              <w:topLinePunct/>
              <w:spacing w:line="300" w:lineRule="auto"/>
              <w:rPr>
                <w:rFonts w:ascii="Times New Roman" w:hAnsi="Times New Roman"/>
                <w:color w:val="000000"/>
                <w:szCs w:val="21"/>
              </w:rPr>
            </w:pPr>
          </w:p>
        </w:tc>
      </w:tr>
      <w:tr w14:paraId="0995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119" w:type="dxa"/>
            <w:vAlign w:val="center"/>
          </w:tcPr>
          <w:p w14:paraId="00E7AE8C">
            <w:pPr>
              <w:topLinePunct/>
              <w:spacing w:line="300" w:lineRule="auto"/>
              <w:jc w:val="center"/>
              <w:rPr>
                <w:rFonts w:ascii="Times New Roman" w:hAnsi="Times New Roman"/>
                <w:color w:val="000000"/>
                <w:szCs w:val="21"/>
              </w:rPr>
            </w:pPr>
            <w:r>
              <w:rPr>
                <w:rFonts w:ascii="Times New Roman" w:hAnsi="Times New Roman"/>
                <w:color w:val="000000"/>
                <w:szCs w:val="21"/>
              </w:rPr>
              <w:t>发包人电话</w:t>
            </w:r>
          </w:p>
        </w:tc>
        <w:tc>
          <w:tcPr>
            <w:tcW w:w="6403" w:type="dxa"/>
          </w:tcPr>
          <w:p w14:paraId="531FE4B5">
            <w:pPr>
              <w:topLinePunct/>
              <w:spacing w:line="300" w:lineRule="auto"/>
              <w:rPr>
                <w:rFonts w:ascii="Times New Roman" w:hAnsi="Times New Roman"/>
                <w:color w:val="000000"/>
                <w:szCs w:val="21"/>
              </w:rPr>
            </w:pPr>
          </w:p>
        </w:tc>
      </w:tr>
      <w:tr w14:paraId="2135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119" w:type="dxa"/>
            <w:vAlign w:val="center"/>
          </w:tcPr>
          <w:p w14:paraId="56FC6F50">
            <w:pPr>
              <w:topLinePunct/>
              <w:spacing w:line="300" w:lineRule="auto"/>
              <w:jc w:val="center"/>
              <w:rPr>
                <w:rFonts w:ascii="Times New Roman" w:hAnsi="Times New Roman"/>
                <w:color w:val="000000"/>
                <w:szCs w:val="21"/>
              </w:rPr>
            </w:pPr>
            <w:r>
              <w:rPr>
                <w:rFonts w:ascii="Times New Roman" w:hAnsi="Times New Roman"/>
                <w:color w:val="000000"/>
                <w:szCs w:val="21"/>
              </w:rPr>
              <w:t>签约合同价</w:t>
            </w:r>
          </w:p>
        </w:tc>
        <w:tc>
          <w:tcPr>
            <w:tcW w:w="6403" w:type="dxa"/>
          </w:tcPr>
          <w:p w14:paraId="2D473E82">
            <w:pPr>
              <w:topLinePunct/>
              <w:spacing w:line="300" w:lineRule="auto"/>
              <w:rPr>
                <w:rFonts w:ascii="Times New Roman" w:hAnsi="Times New Roman"/>
                <w:color w:val="000000"/>
                <w:szCs w:val="21"/>
              </w:rPr>
            </w:pPr>
          </w:p>
        </w:tc>
      </w:tr>
      <w:tr w14:paraId="3070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119" w:type="dxa"/>
            <w:vAlign w:val="center"/>
          </w:tcPr>
          <w:p w14:paraId="28A0BE2E">
            <w:pPr>
              <w:topLinePunct/>
              <w:spacing w:line="300" w:lineRule="auto"/>
              <w:jc w:val="center"/>
              <w:rPr>
                <w:rFonts w:ascii="Times New Roman" w:hAnsi="Times New Roman"/>
                <w:color w:val="000000"/>
                <w:szCs w:val="21"/>
              </w:rPr>
            </w:pPr>
            <w:r>
              <w:rPr>
                <w:rFonts w:ascii="Times New Roman" w:hAnsi="Times New Roman"/>
                <w:color w:val="000000"/>
                <w:szCs w:val="21"/>
              </w:rPr>
              <w:t>开工日期</w:t>
            </w:r>
          </w:p>
        </w:tc>
        <w:tc>
          <w:tcPr>
            <w:tcW w:w="6403" w:type="dxa"/>
          </w:tcPr>
          <w:p w14:paraId="39ACACE0">
            <w:pPr>
              <w:topLinePunct/>
              <w:spacing w:line="300" w:lineRule="auto"/>
              <w:rPr>
                <w:rFonts w:ascii="Times New Roman" w:hAnsi="Times New Roman"/>
                <w:color w:val="000000"/>
                <w:szCs w:val="21"/>
              </w:rPr>
            </w:pPr>
          </w:p>
        </w:tc>
      </w:tr>
      <w:tr w14:paraId="1B0B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119" w:type="dxa"/>
            <w:vAlign w:val="center"/>
          </w:tcPr>
          <w:p w14:paraId="72DF4321">
            <w:pPr>
              <w:topLinePunct/>
              <w:spacing w:line="300" w:lineRule="auto"/>
              <w:jc w:val="center"/>
              <w:rPr>
                <w:rFonts w:ascii="Times New Roman" w:hAnsi="Times New Roman"/>
                <w:color w:val="000000"/>
                <w:szCs w:val="21"/>
              </w:rPr>
            </w:pPr>
            <w:r>
              <w:rPr>
                <w:rFonts w:ascii="Times New Roman" w:hAnsi="Times New Roman"/>
                <w:color w:val="000000"/>
                <w:szCs w:val="21"/>
              </w:rPr>
              <w:t>计划</w:t>
            </w:r>
            <w:r>
              <w:rPr>
                <w:rFonts w:ascii="Times New Roman" w:hAnsi="Times New Roman"/>
                <w:color w:val="000000"/>
              </w:rPr>
              <w:t>竣工</w:t>
            </w:r>
            <w:r>
              <w:rPr>
                <w:rFonts w:ascii="Times New Roman" w:hAnsi="Times New Roman"/>
                <w:color w:val="000000"/>
                <w:szCs w:val="21"/>
              </w:rPr>
              <w:t>日期</w:t>
            </w:r>
          </w:p>
        </w:tc>
        <w:tc>
          <w:tcPr>
            <w:tcW w:w="6403" w:type="dxa"/>
          </w:tcPr>
          <w:p w14:paraId="7A1F3A47">
            <w:pPr>
              <w:topLinePunct/>
              <w:spacing w:line="300" w:lineRule="auto"/>
              <w:rPr>
                <w:rFonts w:ascii="Times New Roman" w:hAnsi="Times New Roman"/>
                <w:color w:val="000000"/>
                <w:szCs w:val="21"/>
              </w:rPr>
            </w:pPr>
          </w:p>
        </w:tc>
      </w:tr>
      <w:tr w14:paraId="0830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119" w:type="dxa"/>
            <w:vAlign w:val="center"/>
          </w:tcPr>
          <w:p w14:paraId="2940E12E">
            <w:pPr>
              <w:topLinePunct/>
              <w:spacing w:line="300" w:lineRule="auto"/>
              <w:jc w:val="center"/>
              <w:rPr>
                <w:rFonts w:ascii="Times New Roman" w:hAnsi="Times New Roman"/>
                <w:color w:val="000000"/>
                <w:szCs w:val="21"/>
              </w:rPr>
            </w:pPr>
            <w:r>
              <w:rPr>
                <w:rFonts w:ascii="Times New Roman" w:hAnsi="Times New Roman"/>
                <w:color w:val="000000"/>
                <w:szCs w:val="21"/>
              </w:rPr>
              <w:t>承担的工作</w:t>
            </w:r>
          </w:p>
        </w:tc>
        <w:tc>
          <w:tcPr>
            <w:tcW w:w="6403" w:type="dxa"/>
          </w:tcPr>
          <w:p w14:paraId="390B7914">
            <w:pPr>
              <w:topLinePunct/>
              <w:spacing w:line="300" w:lineRule="auto"/>
              <w:rPr>
                <w:rFonts w:ascii="Times New Roman" w:hAnsi="Times New Roman"/>
                <w:color w:val="000000"/>
                <w:szCs w:val="21"/>
              </w:rPr>
            </w:pPr>
          </w:p>
        </w:tc>
      </w:tr>
      <w:tr w14:paraId="66CE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19" w:type="dxa"/>
            <w:vAlign w:val="center"/>
          </w:tcPr>
          <w:p w14:paraId="522F0130">
            <w:pPr>
              <w:topLinePunct/>
              <w:spacing w:line="300" w:lineRule="auto"/>
              <w:jc w:val="center"/>
              <w:rPr>
                <w:rFonts w:ascii="Times New Roman" w:hAnsi="Times New Roman"/>
                <w:color w:val="000000"/>
                <w:szCs w:val="21"/>
              </w:rPr>
            </w:pPr>
            <w:r>
              <w:rPr>
                <w:rFonts w:ascii="Times New Roman" w:hAnsi="Times New Roman"/>
                <w:color w:val="000000"/>
                <w:szCs w:val="21"/>
              </w:rPr>
              <w:t>工程质量</w:t>
            </w:r>
          </w:p>
        </w:tc>
        <w:tc>
          <w:tcPr>
            <w:tcW w:w="6403" w:type="dxa"/>
          </w:tcPr>
          <w:p w14:paraId="704D76A9">
            <w:pPr>
              <w:topLinePunct/>
              <w:spacing w:line="300" w:lineRule="auto"/>
              <w:rPr>
                <w:rFonts w:ascii="Times New Roman" w:hAnsi="Times New Roman"/>
                <w:color w:val="000000"/>
                <w:szCs w:val="21"/>
              </w:rPr>
            </w:pPr>
          </w:p>
        </w:tc>
      </w:tr>
      <w:tr w14:paraId="1E095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119" w:type="dxa"/>
            <w:vAlign w:val="center"/>
          </w:tcPr>
          <w:p w14:paraId="0D6042C8">
            <w:pPr>
              <w:topLinePunct/>
              <w:spacing w:line="300" w:lineRule="auto"/>
              <w:jc w:val="center"/>
              <w:rPr>
                <w:rFonts w:ascii="Times New Roman" w:hAnsi="Times New Roman"/>
                <w:color w:val="000000"/>
                <w:szCs w:val="21"/>
              </w:rPr>
            </w:pPr>
            <w:r>
              <w:rPr>
                <w:rFonts w:ascii="Times New Roman" w:hAnsi="Times New Roman"/>
                <w:color w:val="000000"/>
                <w:szCs w:val="21"/>
              </w:rPr>
              <w:t>项目经理</w:t>
            </w:r>
          </w:p>
        </w:tc>
        <w:tc>
          <w:tcPr>
            <w:tcW w:w="6403" w:type="dxa"/>
          </w:tcPr>
          <w:p w14:paraId="40EEA3A9">
            <w:pPr>
              <w:topLinePunct/>
              <w:spacing w:line="300" w:lineRule="auto"/>
              <w:rPr>
                <w:rFonts w:ascii="Times New Roman" w:hAnsi="Times New Roman"/>
                <w:color w:val="000000"/>
                <w:szCs w:val="21"/>
              </w:rPr>
            </w:pPr>
          </w:p>
        </w:tc>
      </w:tr>
      <w:tr w14:paraId="5285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119" w:type="dxa"/>
            <w:vAlign w:val="center"/>
          </w:tcPr>
          <w:p w14:paraId="6826712D">
            <w:pPr>
              <w:topLinePunct/>
              <w:spacing w:line="300" w:lineRule="auto"/>
              <w:jc w:val="center"/>
              <w:rPr>
                <w:rFonts w:ascii="Times New Roman" w:hAnsi="Times New Roman"/>
                <w:color w:val="000000"/>
                <w:szCs w:val="21"/>
              </w:rPr>
            </w:pPr>
            <w:r>
              <w:rPr>
                <w:rFonts w:ascii="Times New Roman" w:hAnsi="Times New Roman"/>
                <w:color w:val="000000"/>
                <w:szCs w:val="21"/>
              </w:rPr>
              <w:t>技术负责人</w:t>
            </w:r>
          </w:p>
        </w:tc>
        <w:tc>
          <w:tcPr>
            <w:tcW w:w="6403" w:type="dxa"/>
          </w:tcPr>
          <w:p w14:paraId="25D0B393">
            <w:pPr>
              <w:topLinePunct/>
              <w:spacing w:line="300" w:lineRule="auto"/>
              <w:rPr>
                <w:rFonts w:ascii="Times New Roman" w:hAnsi="Times New Roman"/>
                <w:color w:val="000000"/>
                <w:szCs w:val="21"/>
              </w:rPr>
            </w:pPr>
          </w:p>
        </w:tc>
      </w:tr>
      <w:tr w14:paraId="28C3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19" w:type="dxa"/>
            <w:vAlign w:val="center"/>
          </w:tcPr>
          <w:p w14:paraId="743A1A91">
            <w:pPr>
              <w:topLinePunct/>
              <w:spacing w:line="300" w:lineRule="auto"/>
              <w:jc w:val="center"/>
              <w:rPr>
                <w:rFonts w:ascii="Times New Roman" w:hAnsi="Times New Roman"/>
                <w:color w:val="000000"/>
                <w:szCs w:val="21"/>
              </w:rPr>
            </w:pPr>
            <w:r>
              <w:rPr>
                <w:rFonts w:ascii="Times New Roman" w:hAnsi="Times New Roman"/>
                <w:color w:val="000000"/>
                <w:szCs w:val="21"/>
              </w:rPr>
              <w:t>总监理工程师及电话</w:t>
            </w:r>
          </w:p>
        </w:tc>
        <w:tc>
          <w:tcPr>
            <w:tcW w:w="6403" w:type="dxa"/>
          </w:tcPr>
          <w:p w14:paraId="741A1C77">
            <w:pPr>
              <w:topLinePunct/>
              <w:spacing w:line="300" w:lineRule="auto"/>
              <w:rPr>
                <w:rFonts w:ascii="Times New Roman" w:hAnsi="Times New Roman"/>
                <w:color w:val="000000"/>
                <w:szCs w:val="21"/>
              </w:rPr>
            </w:pPr>
          </w:p>
        </w:tc>
      </w:tr>
      <w:tr w14:paraId="6003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119" w:type="dxa"/>
            <w:vAlign w:val="center"/>
          </w:tcPr>
          <w:p w14:paraId="5C26508D">
            <w:pPr>
              <w:topLinePunct/>
              <w:spacing w:line="300" w:lineRule="auto"/>
              <w:jc w:val="center"/>
              <w:rPr>
                <w:rFonts w:ascii="Times New Roman" w:hAnsi="Times New Roman"/>
                <w:color w:val="000000"/>
                <w:szCs w:val="21"/>
              </w:rPr>
            </w:pPr>
            <w:r>
              <w:rPr>
                <w:rFonts w:ascii="Times New Roman" w:hAnsi="Times New Roman"/>
                <w:color w:val="000000"/>
                <w:szCs w:val="21"/>
              </w:rPr>
              <w:t>项目描述</w:t>
            </w:r>
          </w:p>
        </w:tc>
        <w:tc>
          <w:tcPr>
            <w:tcW w:w="6403" w:type="dxa"/>
          </w:tcPr>
          <w:p w14:paraId="44ED2776">
            <w:pPr>
              <w:topLinePunct/>
              <w:spacing w:line="300" w:lineRule="auto"/>
              <w:rPr>
                <w:rFonts w:ascii="Times New Roman" w:hAnsi="Times New Roman"/>
                <w:color w:val="000000"/>
                <w:szCs w:val="21"/>
              </w:rPr>
            </w:pPr>
          </w:p>
          <w:p w14:paraId="590FA578">
            <w:pPr>
              <w:topLinePunct/>
              <w:spacing w:line="300" w:lineRule="auto"/>
              <w:rPr>
                <w:rFonts w:ascii="Times New Roman" w:hAnsi="Times New Roman"/>
                <w:color w:val="000000"/>
                <w:szCs w:val="21"/>
              </w:rPr>
            </w:pPr>
          </w:p>
          <w:p w14:paraId="484BD0FF">
            <w:pPr>
              <w:topLinePunct/>
              <w:spacing w:line="300" w:lineRule="auto"/>
              <w:rPr>
                <w:rFonts w:ascii="Times New Roman" w:hAnsi="Times New Roman"/>
                <w:color w:val="000000"/>
                <w:szCs w:val="21"/>
              </w:rPr>
            </w:pPr>
          </w:p>
          <w:p w14:paraId="1F9DAFC3">
            <w:pPr>
              <w:topLinePunct/>
              <w:spacing w:line="300" w:lineRule="auto"/>
              <w:rPr>
                <w:rFonts w:ascii="Times New Roman" w:hAnsi="Times New Roman"/>
                <w:color w:val="000000"/>
                <w:szCs w:val="21"/>
              </w:rPr>
            </w:pPr>
          </w:p>
          <w:p w14:paraId="7F6C9F9B">
            <w:pPr>
              <w:topLinePunct/>
              <w:spacing w:line="300" w:lineRule="auto"/>
              <w:rPr>
                <w:rFonts w:ascii="Times New Roman" w:hAnsi="Times New Roman"/>
                <w:color w:val="000000"/>
                <w:szCs w:val="21"/>
              </w:rPr>
            </w:pPr>
          </w:p>
          <w:p w14:paraId="0534005D">
            <w:pPr>
              <w:topLinePunct/>
              <w:spacing w:line="300" w:lineRule="auto"/>
              <w:rPr>
                <w:rFonts w:ascii="Times New Roman" w:hAnsi="Times New Roman"/>
                <w:color w:val="000000"/>
                <w:szCs w:val="21"/>
              </w:rPr>
            </w:pPr>
          </w:p>
          <w:p w14:paraId="36FE976C">
            <w:pPr>
              <w:topLinePunct/>
              <w:spacing w:line="300" w:lineRule="auto"/>
              <w:rPr>
                <w:rFonts w:ascii="Times New Roman" w:hAnsi="Times New Roman"/>
                <w:color w:val="000000"/>
                <w:szCs w:val="21"/>
              </w:rPr>
            </w:pPr>
          </w:p>
        </w:tc>
      </w:tr>
      <w:tr w14:paraId="3482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119" w:type="dxa"/>
            <w:vAlign w:val="center"/>
          </w:tcPr>
          <w:p w14:paraId="10D2D8C2">
            <w:pPr>
              <w:topLinePunct/>
              <w:spacing w:line="300" w:lineRule="auto"/>
              <w:jc w:val="center"/>
              <w:rPr>
                <w:rFonts w:ascii="Times New Roman" w:hAnsi="Times New Roman"/>
                <w:color w:val="000000"/>
                <w:szCs w:val="21"/>
              </w:rPr>
            </w:pPr>
            <w:r>
              <w:rPr>
                <w:rFonts w:ascii="Times New Roman" w:hAnsi="Times New Roman"/>
                <w:color w:val="000000"/>
                <w:szCs w:val="21"/>
              </w:rPr>
              <w:t>备注</w:t>
            </w:r>
          </w:p>
        </w:tc>
        <w:tc>
          <w:tcPr>
            <w:tcW w:w="6403" w:type="dxa"/>
          </w:tcPr>
          <w:p w14:paraId="03D243E0">
            <w:pPr>
              <w:topLinePunct/>
              <w:spacing w:line="300" w:lineRule="auto"/>
              <w:rPr>
                <w:rFonts w:ascii="Times New Roman" w:hAnsi="Times New Roman"/>
                <w:color w:val="000000"/>
                <w:szCs w:val="21"/>
              </w:rPr>
            </w:pPr>
          </w:p>
        </w:tc>
      </w:tr>
    </w:tbl>
    <w:p w14:paraId="09F6EBA2">
      <w:pPr>
        <w:spacing w:line="300" w:lineRule="auto"/>
        <w:rPr>
          <w:rFonts w:ascii="Times New Roman" w:hAnsi="Times New Roman" w:eastAsia="黑体"/>
          <w:color w:val="000000"/>
          <w:sz w:val="23"/>
          <w:szCs w:val="23"/>
        </w:rPr>
      </w:pPr>
      <w:r>
        <w:rPr>
          <w:rFonts w:ascii="Times New Roman" w:hAnsi="Times New Roman" w:eastAsia="黑体"/>
          <w:color w:val="000000"/>
          <w:sz w:val="23"/>
          <w:szCs w:val="23"/>
        </w:rPr>
        <w:t>注：应附中标通知书或合同协议书或竣工报告。</w:t>
      </w:r>
      <w:bookmarkEnd w:id="841"/>
      <w:bookmarkEnd w:id="842"/>
      <w:bookmarkEnd w:id="843"/>
      <w:bookmarkEnd w:id="84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7D82B1A-CB34-421C-A49F-919D3A8593D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F1DF35DE-59F5-4089-8FEA-21CDDA7AC2C7}"/>
  </w:font>
  <w:font w:name="MingLiU">
    <w:altName w:val="PMingLiU-ExtB"/>
    <w:panose1 w:val="02010609000101010101"/>
    <w:charset w:val="88"/>
    <w:family w:val="modern"/>
    <w:pitch w:val="default"/>
    <w:sig w:usb0="00000000" w:usb1="00000000" w:usb2="00000010" w:usb3="00000000" w:csb0="00100000" w:csb1="00000000"/>
    <w:embedRegular r:id="rId3" w:fontKey="{A3655183-2481-409A-9CDC-B3C0012914A5}"/>
  </w:font>
  <w:font w:name="PMingLiU-ExtB">
    <w:panose1 w:val="02020500000000000000"/>
    <w:charset w:val="88"/>
    <w:family w:val="auto"/>
    <w:pitch w:val="default"/>
    <w:sig w:usb0="8000002F" w:usb1="02000008" w:usb2="00000000" w:usb3="00000000" w:csb0="00100001" w:csb1="00000000"/>
  </w:font>
  <w:font w:name="方正小标宋简体">
    <w:panose1 w:val="03000509000000000000"/>
    <w:charset w:val="86"/>
    <w:family w:val="script"/>
    <w:pitch w:val="default"/>
    <w:sig w:usb0="00000001" w:usb1="080E0000" w:usb2="00000000" w:usb3="00000000" w:csb0="00040000" w:csb1="00000000"/>
    <w:embedRegular r:id="rId4" w:fontKey="{052A4B49-F3E7-403B-BB90-0BE11898F5BF}"/>
  </w:font>
  <w:font w:name="仿宋_GB2312">
    <w:panose1 w:val="02010609030101010101"/>
    <w:charset w:val="86"/>
    <w:family w:val="modern"/>
    <w:pitch w:val="default"/>
    <w:sig w:usb0="00000001" w:usb1="080E0000" w:usb2="00000000" w:usb3="00000000" w:csb0="00040000" w:csb1="00000000"/>
    <w:embedRegular r:id="rId5" w:fontKey="{A4F14007-4736-4617-8373-481AFC1BAA2B}"/>
  </w:font>
  <w:font w:name="Segoe UI">
    <w:panose1 w:val="020B0502040204020203"/>
    <w:charset w:val="00"/>
    <w:family w:val="swiss"/>
    <w:pitch w:val="default"/>
    <w:sig w:usb0="E4002EFF" w:usb1="C000E47F" w:usb2="00000009" w:usb3="00000000" w:csb0="200001FF" w:csb1="00000000"/>
    <w:embedRegular r:id="rId6" w:fontKey="{52510C67-4DAC-4ED1-9A06-C140E16C9696}"/>
  </w:font>
  <w:font w:name="等线">
    <w:panose1 w:val="02010600030101010101"/>
    <w:charset w:val="86"/>
    <w:family w:val="auto"/>
    <w:pitch w:val="default"/>
    <w:sig w:usb0="A00002BF" w:usb1="38CF7CFA" w:usb2="00000016" w:usb3="00000000" w:csb0="0004000F" w:csb1="00000000"/>
    <w:embedRegular r:id="rId7" w:fontKey="{7C554FDC-8388-4C72-9744-E1B7A647AC04}"/>
  </w:font>
  <w:font w:name="楷体_GB2312">
    <w:panose1 w:val="02010609030101010101"/>
    <w:charset w:val="86"/>
    <w:family w:val="modern"/>
    <w:pitch w:val="default"/>
    <w:sig w:usb0="00000001" w:usb1="080E0000" w:usb2="00000000" w:usb3="00000000" w:csb0="00040000" w:csb1="00000000"/>
    <w:embedRegular r:id="rId8" w:fontKey="{86DC9426-4A81-4A8D-A311-3DD92B4E7E7F}"/>
  </w:font>
  <w:font w:name="微软雅黑">
    <w:panose1 w:val="020B0503020204020204"/>
    <w:charset w:val="86"/>
    <w:family w:val="swiss"/>
    <w:pitch w:val="default"/>
    <w:sig w:usb0="80000287" w:usb1="2ACF3C50" w:usb2="00000016" w:usb3="00000000" w:csb0="0004001F" w:csb1="00000000"/>
    <w:embedRegular r:id="rId9" w:fontKey="{70C3CECC-1D9D-467A-8F28-775FACFB6B83}"/>
  </w:font>
  <w:font w:name="iconfont">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E7E57">
    <w:pPr>
      <w:pStyle w:val="12"/>
      <w:jc w:val="center"/>
    </w:pPr>
    <w:r>
      <w:rPr>
        <w:rStyle w:val="22"/>
      </w:rPr>
      <w:fldChar w:fldCharType="begin"/>
    </w:r>
    <w:r>
      <w:rPr>
        <w:rStyle w:val="22"/>
      </w:rPr>
      <w:instrText xml:space="preserve"> PAGE </w:instrText>
    </w:r>
    <w:r>
      <w:rPr>
        <w:rStyle w:val="22"/>
      </w:rPr>
      <w:fldChar w:fldCharType="separate"/>
    </w:r>
    <w:r>
      <w:rPr>
        <w:rStyle w:val="22"/>
      </w:rPr>
      <w:t>61</w:t>
    </w:r>
    <w:r>
      <w:rPr>
        <w:rStyle w:val="22"/>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0983DC"/>
    <w:multiLevelType w:val="singleLevel"/>
    <w:tmpl w:val="820983DC"/>
    <w:lvl w:ilvl="0" w:tentative="0">
      <w:start w:val="1"/>
      <w:numFmt w:val="decimal"/>
      <w:lvlText w:val="%1."/>
      <w:lvlJc w:val="left"/>
      <w:pPr>
        <w:tabs>
          <w:tab w:val="left" w:pos="312"/>
        </w:tabs>
      </w:pPr>
    </w:lvl>
  </w:abstractNum>
  <w:abstractNum w:abstractNumId="1">
    <w:nsid w:val="C0FEAB48"/>
    <w:multiLevelType w:val="singleLevel"/>
    <w:tmpl w:val="C0FEAB48"/>
    <w:lvl w:ilvl="0" w:tentative="0">
      <w:start w:val="6"/>
      <w:numFmt w:val="chineseCounting"/>
      <w:suff w:val="nothing"/>
      <w:lvlText w:val="%1．"/>
      <w:lvlJc w:val="left"/>
      <w:rPr>
        <w:rFonts w:hint="eastAsia"/>
      </w:rPr>
    </w:lvl>
  </w:abstractNum>
  <w:abstractNum w:abstractNumId="2">
    <w:nsid w:val="19452CA5"/>
    <w:multiLevelType w:val="multilevel"/>
    <w:tmpl w:val="19452CA5"/>
    <w:lvl w:ilvl="0" w:tentative="0">
      <w:start w:val="3"/>
      <w:numFmt w:val="japaneseCounting"/>
      <w:lvlText w:val="%1、"/>
      <w:lvlJc w:val="left"/>
      <w:pPr>
        <w:tabs>
          <w:tab w:val="left" w:pos="720"/>
        </w:tabs>
        <w:ind w:left="72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265520F5"/>
    <w:multiLevelType w:val="singleLevel"/>
    <w:tmpl w:val="265520F5"/>
    <w:lvl w:ilvl="0" w:tentative="0">
      <w:start w:val="3"/>
      <w:numFmt w:val="decimal"/>
      <w:suff w:val="nothing"/>
      <w:lvlText w:val="（%1）"/>
      <w:lvlJc w:val="left"/>
    </w:lvl>
  </w:abstractNum>
  <w:abstractNum w:abstractNumId="4">
    <w:nsid w:val="5420CC8C"/>
    <w:multiLevelType w:val="singleLevel"/>
    <w:tmpl w:val="5420CC8C"/>
    <w:lvl w:ilvl="0" w:tentative="0">
      <w:start w:val="2"/>
      <w:numFmt w:val="decimal"/>
      <w:suff w:val="space"/>
      <w:lvlText w:val="%1."/>
      <w:lvlJc w:val="left"/>
    </w:lvl>
  </w:abstractNum>
  <w:abstractNum w:abstractNumId="5">
    <w:nsid w:val="607EA960"/>
    <w:multiLevelType w:val="singleLevel"/>
    <w:tmpl w:val="607EA960"/>
    <w:lvl w:ilvl="0" w:tentative="0">
      <w:start w:val="4"/>
      <w:numFmt w:val="chineseCounting"/>
      <w:suff w:val="space"/>
      <w:lvlText w:val="第%1章"/>
      <w:lvlJc w:val="left"/>
      <w:rPr>
        <w:rFonts w:hint="eastAsia"/>
      </w:rPr>
    </w:lvl>
  </w:abstractNum>
  <w:abstractNum w:abstractNumId="6">
    <w:nsid w:val="61154022"/>
    <w:multiLevelType w:val="multilevel"/>
    <w:tmpl w:val="61154022"/>
    <w:lvl w:ilvl="0" w:tentative="0">
      <w:start w:val="1"/>
      <w:numFmt w:val="japaneseCounting"/>
      <w:lvlText w:val="%1、"/>
      <w:lvlJc w:val="left"/>
      <w:pPr>
        <w:tabs>
          <w:tab w:val="left" w:pos="480"/>
        </w:tabs>
        <w:ind w:left="480" w:hanging="48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7">
    <w:nsid w:val="6AF83AED"/>
    <w:multiLevelType w:val="singleLevel"/>
    <w:tmpl w:val="6AF83AED"/>
    <w:lvl w:ilvl="0" w:tentative="0">
      <w:start w:val="4"/>
      <w:numFmt w:val="decimal"/>
      <w:suff w:val="nothing"/>
      <w:lvlText w:val="%1、"/>
      <w:lvlJc w:val="left"/>
    </w:lvl>
  </w:abstractNum>
  <w:abstractNum w:abstractNumId="8">
    <w:nsid w:val="6E2D08F7"/>
    <w:multiLevelType w:val="multilevel"/>
    <w:tmpl w:val="6E2D08F7"/>
    <w:lvl w:ilvl="0" w:tentative="0">
      <w:start w:val="1"/>
      <w:numFmt w:val="decimal"/>
      <w:pStyle w:val="30"/>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DA81A33"/>
    <w:multiLevelType w:val="singleLevel"/>
    <w:tmpl w:val="7DA81A33"/>
    <w:lvl w:ilvl="0" w:tentative="0">
      <w:start w:val="1"/>
      <w:numFmt w:val="decimal"/>
      <w:suff w:val="nothing"/>
      <w:lvlText w:val="%1．"/>
      <w:lvlJc w:val="left"/>
    </w:lvl>
  </w:abstractNum>
  <w:num w:numId="1">
    <w:abstractNumId w:val="8"/>
  </w:num>
  <w:num w:numId="2">
    <w:abstractNumId w:val="1"/>
  </w:num>
  <w:num w:numId="3">
    <w:abstractNumId w:val="0"/>
  </w:num>
  <w:num w:numId="4">
    <w:abstractNumId w:val="5"/>
  </w:num>
  <w:num w:numId="5">
    <w:abstractNumId w:val="7"/>
  </w:num>
  <w:num w:numId="6">
    <w:abstractNumId w:val="6"/>
  </w:num>
  <w:num w:numId="7">
    <w:abstractNumId w:val="2"/>
  </w:num>
  <w:num w:numId="8">
    <w:abstractNumId w:val="9"/>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00A"/>
    <w:rsid w:val="00126C3D"/>
    <w:rsid w:val="003C01D8"/>
    <w:rsid w:val="005202C8"/>
    <w:rsid w:val="007B165F"/>
    <w:rsid w:val="00B70321"/>
    <w:rsid w:val="00C33E9D"/>
    <w:rsid w:val="00C7000A"/>
    <w:rsid w:val="03FF769E"/>
    <w:rsid w:val="07D94090"/>
    <w:rsid w:val="104E5D16"/>
    <w:rsid w:val="112A22DF"/>
    <w:rsid w:val="1CCF5EB7"/>
    <w:rsid w:val="1DA8335E"/>
    <w:rsid w:val="1DF47EFC"/>
    <w:rsid w:val="226909EF"/>
    <w:rsid w:val="25CF0005"/>
    <w:rsid w:val="2716547E"/>
    <w:rsid w:val="27B42A4F"/>
    <w:rsid w:val="2CC66F08"/>
    <w:rsid w:val="2E92012A"/>
    <w:rsid w:val="366225FC"/>
    <w:rsid w:val="36AE2B3C"/>
    <w:rsid w:val="3A26621F"/>
    <w:rsid w:val="3B1750F0"/>
    <w:rsid w:val="3CB23005"/>
    <w:rsid w:val="3F8E4F0B"/>
    <w:rsid w:val="4114428E"/>
    <w:rsid w:val="5A445BD2"/>
    <w:rsid w:val="5CAB7B8E"/>
    <w:rsid w:val="62467FCB"/>
    <w:rsid w:val="65C71020"/>
    <w:rsid w:val="6B2706FF"/>
    <w:rsid w:val="718708D3"/>
    <w:rsid w:val="759E338C"/>
    <w:rsid w:val="760822F8"/>
    <w:rsid w:val="7C5349FF"/>
    <w:rsid w:val="7D4C20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kern w:val="0"/>
      <w:sz w:val="32"/>
      <w:szCs w:val="32"/>
    </w:rPr>
  </w:style>
  <w:style w:type="paragraph" w:styleId="4">
    <w:name w:val="heading 3"/>
    <w:basedOn w:val="1"/>
    <w:next w:val="1"/>
    <w:link w:val="31"/>
    <w:qFormat/>
    <w:uiPriority w:val="0"/>
    <w:pPr>
      <w:keepNext/>
      <w:keepLines/>
      <w:spacing w:before="260" w:after="260" w:line="415" w:lineRule="auto"/>
      <w:ind w:firstLine="137" w:firstLineChars="49"/>
      <w:outlineLvl w:val="2"/>
    </w:pPr>
    <w:rPr>
      <w:rFonts w:ascii="黑体" w:hAnsi="宋体" w:eastAsia="黑体"/>
      <w:bCs/>
      <w:kern w:val="0"/>
      <w:sz w:val="28"/>
      <w:szCs w:val="28"/>
    </w:rPr>
  </w:style>
  <w:style w:type="paragraph" w:styleId="5">
    <w:name w:val="heading 4"/>
    <w:basedOn w:val="1"/>
    <w:next w:val="1"/>
    <w:qFormat/>
    <w:uiPriority w:val="99"/>
    <w:pPr>
      <w:keepNext/>
      <w:keepLines/>
      <w:spacing w:before="280" w:after="290" w:line="374" w:lineRule="auto"/>
      <w:outlineLvl w:val="3"/>
    </w:pPr>
    <w:rPr>
      <w:rFonts w:ascii="Arial" w:hAnsi="Arial" w:eastAsia="黑体" w:cs="Times New Roman"/>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firstLineChars="200"/>
    </w:pPr>
    <w:rPr>
      <w:rFonts w:ascii="Times New Roman" w:hAnsi="Times New Roman" w:eastAsia="宋体"/>
    </w:rPr>
  </w:style>
  <w:style w:type="paragraph" w:styleId="7">
    <w:name w:val="Body Text"/>
    <w:basedOn w:val="1"/>
    <w:next w:val="8"/>
    <w:unhideWhenUsed/>
    <w:qFormat/>
    <w:uiPriority w:val="0"/>
    <w:pPr>
      <w:widowControl/>
      <w:spacing w:after="120"/>
      <w:jc w:val="left"/>
    </w:pPr>
    <w:rPr>
      <w:rFonts w:ascii="Calibri" w:hAnsi="Calibri" w:eastAsia="宋体"/>
      <w:kern w:val="0"/>
      <w:sz w:val="20"/>
      <w:szCs w:val="20"/>
    </w:rPr>
  </w:style>
  <w:style w:type="paragraph" w:styleId="8">
    <w:name w:val="Body Text 2"/>
    <w:basedOn w:val="1"/>
    <w:unhideWhenUsed/>
    <w:qFormat/>
    <w:uiPriority w:val="0"/>
    <w:pPr>
      <w:jc w:val="left"/>
    </w:pPr>
    <w:rPr>
      <w:rFonts w:ascii="宋体" w:hAnsi="宋体"/>
      <w:color w:val="000000"/>
      <w:sz w:val="18"/>
      <w:szCs w:val="18"/>
    </w:rPr>
  </w:style>
  <w:style w:type="paragraph" w:styleId="9">
    <w:name w:val="Body Text Indent"/>
    <w:basedOn w:val="1"/>
    <w:qFormat/>
    <w:uiPriority w:val="0"/>
    <w:pPr>
      <w:spacing w:after="120"/>
      <w:ind w:left="420" w:leftChars="200"/>
    </w:pPr>
    <w:rPr>
      <w:rFonts w:ascii="Times New Roman" w:hAnsi="Times New Roman" w:eastAsia="宋体"/>
      <w:kern w:val="0"/>
      <w:sz w:val="20"/>
    </w:rPr>
  </w:style>
  <w:style w:type="paragraph" w:styleId="10">
    <w:name w:val="toc 3"/>
    <w:basedOn w:val="1"/>
    <w:next w:val="1"/>
    <w:qFormat/>
    <w:uiPriority w:val="0"/>
    <w:pPr>
      <w:ind w:left="840" w:leftChars="400"/>
    </w:pPr>
  </w:style>
  <w:style w:type="paragraph" w:styleId="11">
    <w:name w:val="Plain Text"/>
    <w:basedOn w:val="1"/>
    <w:qFormat/>
    <w:uiPriority w:val="0"/>
    <w:rPr>
      <w:rFonts w:hAnsi="Courier New" w:cs="Times New Roman"/>
      <w:sz w:val="20"/>
      <w:szCs w:val="20"/>
    </w:rPr>
  </w:style>
  <w:style w:type="paragraph" w:styleId="12">
    <w:name w:val="footer"/>
    <w:basedOn w:val="1"/>
    <w:unhideWhenUsed/>
    <w:qFormat/>
    <w:uiPriority w:val="0"/>
    <w:pPr>
      <w:widowControl/>
      <w:tabs>
        <w:tab w:val="center" w:pos="4153"/>
        <w:tab w:val="right" w:pos="8306"/>
      </w:tabs>
      <w:snapToGrid w:val="0"/>
      <w:jc w:val="left"/>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39"/>
    <w:pPr>
      <w:tabs>
        <w:tab w:val="left" w:leader="dot" w:pos="8870"/>
      </w:tabs>
      <w:spacing w:line="640" w:lineRule="exact"/>
    </w:pPr>
    <w:rPr>
      <w:rFonts w:ascii="仿宋" w:hAnsi="仿宋" w:eastAsia="仿宋" w:cs="MingLiU"/>
      <w:color w:val="000000"/>
    </w:rPr>
  </w:style>
  <w:style w:type="paragraph" w:styleId="15">
    <w:name w:val="toc 2"/>
    <w:basedOn w:val="1"/>
    <w:next w:val="1"/>
    <w:qFormat/>
    <w:uiPriority w:val="0"/>
    <w:pPr>
      <w:ind w:left="420" w:leftChars="200"/>
    </w:pPr>
  </w:style>
  <w:style w:type="paragraph" w:styleId="16">
    <w:name w:val="Normal (Web)"/>
    <w:basedOn w:val="1"/>
    <w:qFormat/>
    <w:uiPriority w:val="0"/>
    <w:rPr>
      <w:sz w:val="24"/>
    </w:rPr>
  </w:style>
  <w:style w:type="paragraph" w:styleId="17">
    <w:name w:val="Body Text First Indent 2"/>
    <w:basedOn w:val="9"/>
    <w:qFormat/>
    <w:uiPriority w:val="99"/>
    <w:pPr>
      <w:ind w:firstLine="420" w:firstLineChars="2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rPr>
  </w:style>
  <w:style w:type="character" w:styleId="22">
    <w:name w:val="page number"/>
    <w:qFormat/>
    <w:uiPriority w:val="0"/>
  </w:style>
  <w:style w:type="character" w:styleId="23">
    <w:name w:val="Emphasis"/>
    <w:basedOn w:val="20"/>
    <w:qFormat/>
    <w:uiPriority w:val="0"/>
  </w:style>
  <w:style w:type="character" w:styleId="24">
    <w:name w:val="Hyperlink"/>
    <w:basedOn w:val="20"/>
    <w:qFormat/>
    <w:uiPriority w:val="0"/>
    <w:rPr>
      <w:color w:val="0000FF"/>
      <w:u w:val="single"/>
    </w:rPr>
  </w:style>
  <w:style w:type="paragraph" w:customStyle="1" w:styleId="25">
    <w:name w:val="样式2"/>
    <w:basedOn w:val="4"/>
    <w:qFormat/>
    <w:uiPriority w:val="0"/>
    <w:rPr>
      <w:i/>
    </w:rPr>
  </w:style>
  <w:style w:type="paragraph" w:customStyle="1" w:styleId="26">
    <w:name w:val="样式 标题 2 + Times New Roman 四号 非加粗 段前: 5 磅 段后: 0 磅 行距: 固定值 20..."/>
    <w:basedOn w:val="3"/>
    <w:qFormat/>
    <w:uiPriority w:val="0"/>
    <w:pPr>
      <w:spacing w:before="100" w:after="0" w:line="400" w:lineRule="exact"/>
    </w:pPr>
    <w:rPr>
      <w:rFonts w:ascii="Times New Roman" w:hAnsi="Times New Roman"/>
      <w:b w:val="0"/>
      <w:bCs w:val="0"/>
      <w:sz w:val="28"/>
      <w:szCs w:val="20"/>
    </w:rPr>
  </w:style>
  <w:style w:type="paragraph" w:customStyle="1" w:styleId="27">
    <w:name w:val="三级"/>
    <w:basedOn w:val="28"/>
    <w:autoRedefine/>
    <w:qFormat/>
    <w:uiPriority w:val="0"/>
    <w:pPr>
      <w:tabs>
        <w:tab w:val="left" w:pos="851"/>
      </w:tabs>
    </w:pPr>
    <w:rPr>
      <w:b w:val="0"/>
      <w:bCs w:val="0"/>
    </w:rPr>
  </w:style>
  <w:style w:type="paragraph" w:customStyle="1" w:styleId="28">
    <w:name w:val="A标题4"/>
    <w:basedOn w:val="5"/>
    <w:next w:val="1"/>
    <w:autoRedefine/>
    <w:qFormat/>
    <w:uiPriority w:val="0"/>
    <w:pPr>
      <w:keepNext w:val="0"/>
      <w:keepLines w:val="0"/>
      <w:tabs>
        <w:tab w:val="left" w:pos="851"/>
      </w:tabs>
      <w:spacing w:before="0" w:after="80" w:line="360" w:lineRule="auto"/>
      <w:ind w:left="851" w:hanging="851"/>
    </w:pPr>
    <w:rPr>
      <w:sz w:val="24"/>
    </w:rPr>
  </w:style>
  <w:style w:type="paragraph" w:customStyle="1" w:styleId="29">
    <w:name w:val="p0"/>
    <w:basedOn w:val="1"/>
    <w:qFormat/>
    <w:uiPriority w:val="0"/>
    <w:pPr>
      <w:widowControl/>
      <w:jc w:val="left"/>
    </w:pPr>
    <w:rPr>
      <w:rFonts w:ascii="Times New Roman" w:hAnsi="Times New Roman" w:eastAsia="宋体"/>
      <w:kern w:val="0"/>
      <w:sz w:val="20"/>
      <w:szCs w:val="21"/>
    </w:rPr>
  </w:style>
  <w:style w:type="paragraph" w:customStyle="1" w:styleId="30">
    <w:name w:val="编号1"/>
    <w:basedOn w:val="6"/>
    <w:qFormat/>
    <w:uiPriority w:val="0"/>
    <w:pPr>
      <w:numPr>
        <w:ilvl w:val="0"/>
        <w:numId w:val="1"/>
      </w:numPr>
      <w:tabs>
        <w:tab w:val="left" w:pos="720"/>
        <w:tab w:val="left" w:pos="1200"/>
      </w:tabs>
      <w:adjustRightInd w:val="0"/>
      <w:snapToGrid w:val="0"/>
      <w:spacing w:before="120" w:line="400" w:lineRule="exact"/>
      <w:ind w:left="720" w:firstLine="0" w:firstLineChars="0"/>
    </w:pPr>
    <w:rPr>
      <w:kern w:val="0"/>
      <w:sz w:val="24"/>
      <w:szCs w:val="20"/>
    </w:rPr>
  </w:style>
  <w:style w:type="character" w:customStyle="1" w:styleId="31">
    <w:name w:val="标题 3 Char"/>
    <w:link w:val="4"/>
    <w:qFormat/>
    <w:uiPriority w:val="99"/>
    <w:rPr>
      <w:rFonts w:ascii="黑体" w:hAnsi="宋体" w:eastAsia="黑体"/>
      <w:bCs/>
      <w:kern w:val="0"/>
      <w:sz w:val="28"/>
      <w:szCs w:val="28"/>
    </w:rPr>
  </w:style>
  <w:style w:type="paragraph" w:customStyle="1" w:styleId="32">
    <w:name w:val="标题1 Char Char Char"/>
    <w:basedOn w:val="2"/>
    <w:qFormat/>
    <w:uiPriority w:val="0"/>
    <w:pPr>
      <w:tabs>
        <w:tab w:val="center" w:pos="4512"/>
        <w:tab w:val="center" w:pos="4606"/>
      </w:tabs>
      <w:adjustRightInd w:val="0"/>
      <w:snapToGrid w:val="0"/>
      <w:spacing w:beforeLines="50" w:after="240"/>
      <w:jc w:val="center"/>
      <w:outlineLvl w:val="1"/>
    </w:pPr>
    <w:rPr>
      <w:rFonts w:ascii="Calibri" w:hAnsi="Calibri"/>
      <w:bCs w:val="0"/>
      <w:sz w:val="28"/>
      <w:szCs w:val="20"/>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94</Pages>
  <Words>5829</Words>
  <Characters>6489</Characters>
  <Lines>69</Lines>
  <Paragraphs>81</Paragraphs>
  <TotalTime>10</TotalTime>
  <ScaleCrop>false</ScaleCrop>
  <LinksUpToDate>false</LinksUpToDate>
  <CharactersWithSpaces>6526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2026-01-30T01:10:00Z</dcterms:created>
  <dc:creator>王化鹏</dc:creator>
  <cp:lastModifiedBy>哄哄</cp:lastModifiedBy>
  <dcterms:modified xsi:type="dcterms:W3CDTF">2026-01-30T08:26:25Z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eyJoZGlkIjoiMjAwOTYzZDE0NGZmNDA3M2JiNjI3ZjRiZWEwZjU3ODUiLCJ1c2VySWQiOiIxMDAyMDEwMDQzIn0=</vt:lpwstr>
  </property>
  <property fmtid="{D5CDD505-2E9C-101B-9397-08002B2CF9AE}" pid="4" name="ICV">
    <vt:lpwstr>02F91E97A3BF42BEB99F88FDB6DBB596_13</vt:lpwstr>
  </property>
</Properties>
</file>